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2EB2544B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FB75CF">
        <w:rPr>
          <w:rFonts w:asciiTheme="majorHAnsi" w:hAnsiTheme="majorHAnsi"/>
          <w:b/>
          <w:bCs/>
          <w:color w:val="000000" w:themeColor="text1"/>
          <w:sz w:val="24"/>
          <w:szCs w:val="24"/>
        </w:rPr>
        <w:t>b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701FEF">
        <w:rPr>
          <w:rFonts w:asciiTheme="majorHAnsi" w:hAnsiTheme="majorHAnsi"/>
          <w:b/>
          <w:bCs/>
          <w:color w:val="000000" w:themeColor="text1"/>
          <w:sz w:val="24"/>
          <w:szCs w:val="24"/>
        </w:rPr>
        <w:t>zapytania ofertowego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0079B840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FB75CF">
        <w:rPr>
          <w:rFonts w:asciiTheme="majorHAnsi" w:hAnsiTheme="majorHAnsi"/>
          <w:b/>
          <w:bCs/>
          <w:color w:val="000000" w:themeColor="text1"/>
          <w:sz w:val="24"/>
          <w:szCs w:val="24"/>
        </w:rPr>
        <w:t>2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8AE62C4" w14:textId="77777777" w:rsidR="00FB75CF" w:rsidRPr="00292B89" w:rsidRDefault="00FB75CF" w:rsidP="00FB75CF">
      <w:pPr>
        <w:jc w:val="center"/>
        <w:rPr>
          <w:rFonts w:cs="Times New Roman"/>
          <w:b/>
          <w:u w:val="single"/>
        </w:rPr>
      </w:pPr>
      <w:r w:rsidRPr="00292B89">
        <w:rPr>
          <w:rFonts w:ascii="Arial" w:eastAsia="Times New Roman" w:hAnsi="Arial"/>
          <w:b/>
          <w:u w:val="single"/>
        </w:rPr>
        <w:t xml:space="preserve">Dostawa pomocy multimedialnych, sprzętu IT oraz monitora interaktywnego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416"/>
        <w:gridCol w:w="7586"/>
        <w:gridCol w:w="696"/>
        <w:gridCol w:w="495"/>
        <w:gridCol w:w="997"/>
        <w:gridCol w:w="1093"/>
        <w:gridCol w:w="696"/>
        <w:gridCol w:w="994"/>
        <w:gridCol w:w="852"/>
      </w:tblGrid>
      <w:tr w:rsidR="00701FEF" w:rsidRPr="00496443" w14:paraId="4FD34E8F" w14:textId="5AF2DECC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  <w:hideMark/>
          </w:tcPr>
          <w:p w14:paraId="5DBC9B2D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E282" w14:textId="0CE17AB2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3D02EC">
              <w:rPr>
                <w:rFonts w:ascii="Cambria" w:eastAsia="Cambria" w:hAnsi="Cambria" w:cs="Cambria"/>
                <w:b/>
              </w:rPr>
              <w:t>Nazwa</w:t>
            </w:r>
            <w:r>
              <w:rPr>
                <w:rFonts w:ascii="Cambria" w:eastAsia="Cambria" w:hAnsi="Cambria" w:cs="Cambria"/>
                <w:b/>
              </w:rPr>
              <w:t xml:space="preserve"> ogólna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EE62" w14:textId="4D8EAC90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F8B2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AF5C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4F70" w14:textId="353EBD08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Cena jednostkowa netto w złotych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559AB9C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netto w złotych</w:t>
            </w:r>
          </w:p>
          <w:p w14:paraId="5E5546F9" w14:textId="36E7D4DA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 x E</w:t>
            </w:r>
          </w:p>
        </w:tc>
        <w:tc>
          <w:tcPr>
            <w:tcW w:w="226" w:type="pct"/>
            <w:vAlign w:val="center"/>
          </w:tcPr>
          <w:p w14:paraId="56FA5EBB" w14:textId="7452D25D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Stawka podatku VAT w %</w:t>
            </w:r>
          </w:p>
        </w:tc>
        <w:tc>
          <w:tcPr>
            <w:tcW w:w="323" w:type="pct"/>
            <w:vAlign w:val="center"/>
          </w:tcPr>
          <w:p w14:paraId="2B5D95C3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podatku VAT w złotych</w:t>
            </w:r>
          </w:p>
          <w:p w14:paraId="743421BA" w14:textId="0874CA8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x G</w:t>
            </w:r>
          </w:p>
        </w:tc>
        <w:tc>
          <w:tcPr>
            <w:tcW w:w="277" w:type="pct"/>
            <w:vAlign w:val="center"/>
          </w:tcPr>
          <w:p w14:paraId="08DEE657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 brutto w złotych</w:t>
            </w:r>
          </w:p>
          <w:p w14:paraId="325A13BF" w14:textId="3C773F0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+ H</w:t>
            </w:r>
          </w:p>
        </w:tc>
      </w:tr>
      <w:tr w:rsidR="00701FEF" w:rsidRPr="00496443" w14:paraId="2ADC905C" w14:textId="77777777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</w:tcPr>
          <w:p w14:paraId="1587572D" w14:textId="6A9AD8F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FFA6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0423" w14:textId="1FC47909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B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5B54" w14:textId="0A87D3D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C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36A39" w14:textId="17D75CBE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FC34" w14:textId="3C0D92E1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E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D2E1527" w14:textId="6FC8A1DE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</w:t>
            </w:r>
          </w:p>
        </w:tc>
        <w:tc>
          <w:tcPr>
            <w:tcW w:w="226" w:type="pct"/>
            <w:vAlign w:val="center"/>
          </w:tcPr>
          <w:p w14:paraId="1BEE7733" w14:textId="7EF6C392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G</w:t>
            </w:r>
          </w:p>
        </w:tc>
        <w:tc>
          <w:tcPr>
            <w:tcW w:w="323" w:type="pct"/>
            <w:vAlign w:val="center"/>
          </w:tcPr>
          <w:p w14:paraId="265FA716" w14:textId="5BB9B70B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H</w:t>
            </w:r>
          </w:p>
        </w:tc>
        <w:tc>
          <w:tcPr>
            <w:tcW w:w="277" w:type="pct"/>
            <w:vAlign w:val="center"/>
          </w:tcPr>
          <w:p w14:paraId="3E99BC60" w14:textId="7EAFF656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</w:tr>
      <w:tr w:rsidR="00FB75CF" w:rsidRPr="00496443" w14:paraId="45B13A49" w14:textId="44B465D8" w:rsidTr="00484579">
        <w:trPr>
          <w:trHeight w:val="28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835AD" w14:textId="587FD04B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59E6" w14:textId="7E80828A" w:rsidR="00FB75CF" w:rsidRPr="003C5218" w:rsidRDefault="00FB75CF" w:rsidP="00FB75C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eastAsia="Times New Roman" w:cs="Times New Roman"/>
              </w:rPr>
              <w:t xml:space="preserve">Interdyscyplinarny robot edukacyjny typu Robot </w:t>
            </w:r>
            <w:proofErr w:type="spellStart"/>
            <w:r w:rsidRPr="001558C9">
              <w:rPr>
                <w:rFonts w:eastAsia="Times New Roman" w:cs="Times New Roman"/>
              </w:rPr>
              <w:t>Photon</w:t>
            </w:r>
            <w:proofErr w:type="spellEnd"/>
            <w:r w:rsidRPr="001558C9">
              <w:rPr>
                <w:rFonts w:eastAsia="Times New Roman" w:cs="Times New Roman"/>
              </w:rPr>
              <w:t xml:space="preserve"> EDU</w:t>
            </w:r>
            <w:r>
              <w:rPr>
                <w:rFonts w:eastAsia="Times New Roman" w:cs="Times New Roman"/>
              </w:rPr>
              <w:t xml:space="preserve"> lub 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CDE5F" w14:textId="77777777" w:rsidR="00FB75CF" w:rsidRPr="001558C9" w:rsidRDefault="00FB75CF" w:rsidP="00FB75CF">
            <w:pPr>
              <w:spacing w:line="276" w:lineRule="auto"/>
              <w:jc w:val="both"/>
              <w:rPr>
                <w:rFonts w:ascii="Cambria" w:eastAsia="Times New Roman" w:hAnsi="Cambria" w:cs="Times New Roman"/>
                <w:bCs/>
              </w:rPr>
            </w:pPr>
            <w:r w:rsidRPr="001558C9">
              <w:rPr>
                <w:rFonts w:ascii="Cambria" w:eastAsia="Times New Roman" w:hAnsi="Cambria" w:cs="Times New Roman"/>
                <w:bCs/>
              </w:rPr>
              <w:t xml:space="preserve">Robot edukacyjny, który rozwija się razem z dzieckiem - jego umiejętności są ściśle powiązane z tym czego nauczyło się dziecko. Robot jest niczym niezapisana karta - tuż po wyjęciu z opakowania, robot nie potrafi nic. Dopiero poprzez specjalną aplikację na tablety i </w:t>
            </w:r>
            <w:proofErr w:type="spellStart"/>
            <w:r w:rsidRPr="001558C9">
              <w:rPr>
                <w:rFonts w:ascii="Cambria" w:eastAsia="Times New Roman" w:hAnsi="Cambria" w:cs="Times New Roman"/>
                <w:bCs/>
              </w:rPr>
              <w:t>smartfony</w:t>
            </w:r>
            <w:proofErr w:type="spellEnd"/>
            <w:r w:rsidRPr="001558C9">
              <w:rPr>
                <w:rFonts w:ascii="Cambria" w:eastAsia="Times New Roman" w:hAnsi="Cambria" w:cs="Times New Roman"/>
                <w:bCs/>
              </w:rPr>
              <w:t>, dzieci muszą pomóc robotowi, ucząc go wszystkiego od podstaw - od poruszania się w określonych kierunkach, rozpoznawania różnych kolorów, aż po reagowanie na różne bodźce i interakcję z otaczaj</w:t>
            </w:r>
            <w:bookmarkStart w:id="0" w:name="_GoBack"/>
            <w:bookmarkEnd w:id="0"/>
            <w:r w:rsidRPr="001558C9">
              <w:rPr>
                <w:rFonts w:ascii="Cambria" w:eastAsia="Times New Roman" w:hAnsi="Cambria" w:cs="Times New Roman"/>
                <w:bCs/>
              </w:rPr>
              <w:t>ącą go rzeczywistością.</w:t>
            </w:r>
          </w:p>
          <w:p w14:paraId="126FD88F" w14:textId="258BAE44" w:rsidR="00FB75CF" w:rsidRPr="003C5218" w:rsidRDefault="00FB75CF" w:rsidP="00FB75C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  <w:r w:rsidRPr="001558C9">
              <w:rPr>
                <w:rFonts w:ascii="Cambria" w:eastAsia="Times New Roman" w:hAnsi="Cambria" w:cs="Times New Roman"/>
                <w:bCs/>
              </w:rPr>
              <w:t>W skład zestawu wchodzi:</w:t>
            </w:r>
            <w:r w:rsidRPr="001558C9">
              <w:rPr>
                <w:rFonts w:ascii="Cambria" w:eastAsia="Times New Roman" w:hAnsi="Cambria" w:cs="Times New Roman"/>
              </w:rPr>
              <w:t xml:space="preserve"> robot edukacyjny</w:t>
            </w:r>
            <w:r>
              <w:rPr>
                <w:rFonts w:eastAsia="Times New Roman" w:cs="Times New Roman"/>
              </w:rPr>
              <w:t>,</w:t>
            </w:r>
            <w:r w:rsidRPr="001558C9">
              <w:rPr>
                <w:rFonts w:ascii="Cambria" w:eastAsia="Times New Roman" w:hAnsi="Cambria" w:cs="Times New Roman"/>
              </w:rPr>
              <w:t xml:space="preserve"> dostęp do dedykowanych aplikacji, które umożliwiają sterowanie robotem za pomocą zróżnicowanych narzędzi, dostęp do stale aktualizowanej bazy scenariuszy prowadzenia zajęć oraz dodatkowych materiałów dydaktycznych w formie cyfrowej. Robot ma wbudowaną baterię, jest ładowany za pomocą kabla micro USB. Po pełnym naładowaniu działa do 8 godzin.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3ADF4" w14:textId="480A1E18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558D6" w14:textId="4A5600AC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D280" w14:textId="36F9A2AC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320346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EFD444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E4C5902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7B3F90B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5338D129" w14:textId="2E65F23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5EECB" w14:textId="3A66BFD0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376064C" w14:textId="1252C034" w:rsidR="00FB75CF" w:rsidRPr="00496443" w:rsidRDefault="00FB75CF" w:rsidP="00FB75CF">
            <w:pPr>
              <w:jc w:val="both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eastAsia="Times New Roman" w:cs="Times New Roman"/>
              </w:rPr>
              <w:t xml:space="preserve">Zestaw typu </w:t>
            </w:r>
            <w:proofErr w:type="spellStart"/>
            <w:r w:rsidRPr="001558C9">
              <w:rPr>
                <w:rFonts w:eastAsia="Times New Roman" w:cs="Times New Roman"/>
              </w:rPr>
              <w:t>Photon</w:t>
            </w:r>
            <w:proofErr w:type="spellEnd"/>
            <w:r w:rsidRPr="001558C9">
              <w:rPr>
                <w:rFonts w:eastAsia="Times New Roman" w:cs="Times New Roman"/>
              </w:rPr>
              <w:t xml:space="preserve"> Moduł </w:t>
            </w:r>
            <w:r w:rsidRPr="001558C9">
              <w:rPr>
                <w:rFonts w:eastAsia="Times New Roman" w:cs="Times New Roman"/>
              </w:rPr>
              <w:lastRenderedPageBreak/>
              <w:t>Sztuczna Inteligencja</w:t>
            </w:r>
            <w:r>
              <w:rPr>
                <w:rFonts w:eastAsia="Times New Roman" w:cs="Times New Roman"/>
              </w:rPr>
              <w:t xml:space="preserve"> lub równoważny 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74FA9F1" w14:textId="77777777" w:rsidR="00FB75CF" w:rsidRPr="00A06974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color w:val="EE0000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lastRenderedPageBreak/>
              <w:t xml:space="preserve">Moduł dedykowany edukatorom, którzy chcą przybliżyć swoim uczniom technologię sztucznej inteligencji. Dzięki opracowanym materiałom, edukator dowie się, w jaki sposób mówić o sztucznej inteligencji oraz jak rozwijać w </w:t>
            </w:r>
            <w:r w:rsidRPr="001558C9">
              <w:rPr>
                <w:rFonts w:ascii="Cambria" w:hAnsi="Cambria" w:cs="Times New Roman"/>
                <w:sz w:val="22"/>
                <w:szCs w:val="22"/>
              </w:rPr>
              <w:lastRenderedPageBreak/>
              <w:t xml:space="preserve">dzieciach umiejętność krytycznego myślenia, aby byli świadomymi użytkownikami technologii. Uczniowie będą rozwijać te kompetencje poprzez praktyczne działanie, a pretekstem do nich będzie dołączona do zestawu makieta miasta. Sami zbudują tę przestrzeń z gotowych elementów, a następnie realizując kolejne ćwiczenia, odkryją wybrane zastosowania wykorzystania sztucznej inteligencji w codzienności. Za pośrednictwem dedykowanej aplikacji wezmą udział w trenowaniu sztucznej inteligencji robota, który zmieni się m.in. w inteligentną kasę, lodówkę, pojazd autonomiczny, detektywa czy </w:t>
            </w:r>
            <w:proofErr w:type="spellStart"/>
            <w:r w:rsidRPr="001558C9">
              <w:rPr>
                <w:rFonts w:ascii="Cambria" w:hAnsi="Cambria" w:cs="Times New Roman"/>
                <w:sz w:val="22"/>
                <w:szCs w:val="22"/>
              </w:rPr>
              <w:t>chatbota</w:t>
            </w:r>
            <w:proofErr w:type="spellEnd"/>
            <w:r w:rsidRPr="001558C9">
              <w:rPr>
                <w:rFonts w:ascii="Cambria" w:hAnsi="Cambria" w:cs="Times New Roman"/>
                <w:sz w:val="22"/>
                <w:szCs w:val="22"/>
              </w:rPr>
              <w:t xml:space="preserve">. Realizując specjalnie zaprojektowane eksperymenty z użyciem robota, będą mieli okazję poznać efekty swojego treningu, przeanalizować znaczenie ilości i jakości danych szkoleniowych dla wytrenowania modelu, zastanowić się nad wykorzystaniem przetestowanej technologii w codziennym życiu. </w:t>
            </w:r>
            <w:r w:rsidRPr="0053704D">
              <w:rPr>
                <w:rFonts w:ascii="Cambria" w:hAnsi="Cambria" w:cs="Times New Roman"/>
                <w:sz w:val="22"/>
                <w:szCs w:val="22"/>
              </w:rPr>
              <w:t>W ramach cyklu 10 zajęć uczniowie dowiedzą się:</w:t>
            </w:r>
          </w:p>
          <w:p w14:paraId="06375367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• czym jest sztuczna inteligencja,</w:t>
            </w:r>
          </w:p>
          <w:p w14:paraId="13874986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• w jaki sposób działa,</w:t>
            </w:r>
          </w:p>
          <w:p w14:paraId="481C4882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• co wpływa na efektywność jej działania,</w:t>
            </w:r>
          </w:p>
          <w:p w14:paraId="0016913A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• poznają jej wybrane zastosowania.</w:t>
            </w:r>
          </w:p>
          <w:p w14:paraId="7CCE040E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Skład zestawu:</w:t>
            </w:r>
          </w:p>
          <w:p w14:paraId="067E90D1" w14:textId="77777777" w:rsidR="00FB75CF" w:rsidRPr="00A06974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A06974">
              <w:rPr>
                <w:rFonts w:ascii="Cambria" w:hAnsi="Cambria" w:cs="Times New Roman"/>
                <w:sz w:val="22"/>
                <w:szCs w:val="22"/>
              </w:rPr>
              <w:t xml:space="preserve">• robot typu </w:t>
            </w:r>
            <w:proofErr w:type="spellStart"/>
            <w:r w:rsidRPr="00A06974">
              <w:rPr>
                <w:rFonts w:ascii="Cambria" w:hAnsi="Cambria" w:cs="Times New Roman"/>
                <w:sz w:val="22"/>
                <w:szCs w:val="22"/>
              </w:rPr>
              <w:t>Photon</w:t>
            </w:r>
            <w:proofErr w:type="spellEnd"/>
            <w:r w:rsidRPr="00A06974">
              <w:rPr>
                <w:rFonts w:ascii="Cambria" w:hAnsi="Cambria" w:cs="Times New Roman"/>
                <w:sz w:val="22"/>
                <w:szCs w:val="22"/>
              </w:rPr>
              <w:t xml:space="preserve"> EDU lub równoważny,</w:t>
            </w:r>
          </w:p>
          <w:p w14:paraId="40864943" w14:textId="77777777" w:rsidR="00FB75CF" w:rsidRPr="00A06974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A06974">
              <w:rPr>
                <w:rFonts w:ascii="Cambria" w:hAnsi="Cambria" w:cs="Times New Roman"/>
                <w:sz w:val="22"/>
                <w:szCs w:val="22"/>
              </w:rPr>
              <w:t xml:space="preserve">• zestaw scenariuszy zajęć (2 </w:t>
            </w:r>
            <w:proofErr w:type="spellStart"/>
            <w:r w:rsidRPr="00A06974">
              <w:rPr>
                <w:rFonts w:ascii="Cambria" w:hAnsi="Cambria" w:cs="Times New Roman"/>
                <w:sz w:val="22"/>
                <w:szCs w:val="22"/>
              </w:rPr>
              <w:t>kpl</w:t>
            </w:r>
            <w:proofErr w:type="spellEnd"/>
            <w:r w:rsidRPr="00A06974">
              <w:rPr>
                <w:rFonts w:ascii="Cambria" w:hAnsi="Cambria" w:cs="Times New Roman"/>
                <w:sz w:val="22"/>
                <w:szCs w:val="22"/>
              </w:rPr>
              <w:t>.),</w:t>
            </w:r>
          </w:p>
          <w:p w14:paraId="7AB5770A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• mata edukacyjna,</w:t>
            </w:r>
          </w:p>
          <w:p w14:paraId="1EA4A376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• zestaw akcesoriów,</w:t>
            </w:r>
          </w:p>
          <w:p w14:paraId="2D1F9DD7" w14:textId="77777777" w:rsidR="00FB75CF" w:rsidRDefault="00FB75CF" w:rsidP="00FB75CF">
            <w:pPr>
              <w:pStyle w:val="Tekstpodstawowy"/>
              <w:shd w:val="clear" w:color="auto" w:fill="FFFFFF"/>
              <w:spacing w:after="0" w:line="276" w:lineRule="auto"/>
              <w:ind w:left="71"/>
              <w:jc w:val="both"/>
              <w:rPr>
                <w:rFonts w:ascii="Cambria" w:hAnsi="Cambria" w:cs="Times New Roman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sz w:val="22"/>
                <w:szCs w:val="22"/>
              </w:rPr>
              <w:t>• uchwyt na tablet,</w:t>
            </w:r>
          </w:p>
          <w:p w14:paraId="5376A747" w14:textId="30F70EE2" w:rsidR="00FB75CF" w:rsidRPr="00496443" w:rsidRDefault="00FB75CF" w:rsidP="00FB75CF">
            <w:pPr>
              <w:jc w:val="both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 xml:space="preserve">• cyfrowe materiały dydaktyczne. Gwarancja 2 lata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C3E37" w14:textId="3102C67C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lastRenderedPageBreak/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7B47" w14:textId="620139DC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E94" w14:textId="21E2608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9C96E4D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B1018B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3FFFB26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809EBF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5AE22D41" w14:textId="4FAD4CB9" w:rsidTr="00484579">
        <w:trPr>
          <w:trHeight w:val="4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CF33A" w14:textId="12D95DF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F85FB9" w14:textId="64158B1B" w:rsidR="00FB75CF" w:rsidRPr="00496443" w:rsidRDefault="00FB75CF" w:rsidP="00FB75CF">
            <w:pPr>
              <w:jc w:val="both"/>
              <w:rPr>
                <w:rFonts w:ascii="Cambria" w:eastAsia="Times New Roman" w:hAnsi="Cambria" w:cs="Arial"/>
                <w:b/>
                <w:bCs/>
              </w:rPr>
            </w:pPr>
            <w:r>
              <w:rPr>
                <w:rFonts w:ascii="Cambria" w:eastAsia="Times New Roman" w:hAnsi="Cambria" w:cs="Times New Roman"/>
              </w:rPr>
              <w:t>Zestaw typu</w:t>
            </w:r>
            <w:r w:rsidRPr="001558C9">
              <w:rPr>
                <w:rFonts w:ascii="Cambria" w:eastAsia="Times New Roman" w:hAnsi="Cambria" w:cs="Times New Roman"/>
              </w:rPr>
              <w:t xml:space="preserve"> </w:t>
            </w:r>
            <w:proofErr w:type="spellStart"/>
            <w:r w:rsidRPr="001558C9">
              <w:rPr>
                <w:rFonts w:ascii="Cambria" w:eastAsia="Times New Roman" w:hAnsi="Cambria" w:cs="Times New Roman"/>
              </w:rPr>
              <w:t>Photon</w:t>
            </w:r>
            <w:proofErr w:type="spellEnd"/>
            <w:r w:rsidRPr="001558C9">
              <w:rPr>
                <w:rFonts w:ascii="Cambria" w:eastAsia="Times New Roman" w:hAnsi="Cambria" w:cs="Times New Roman"/>
              </w:rPr>
              <w:t xml:space="preserve"> Moduł Robotyka i kodowani</w:t>
            </w:r>
            <w:r>
              <w:rPr>
                <w:rFonts w:ascii="Cambria" w:eastAsia="Times New Roman" w:hAnsi="Cambria" w:cs="Times New Roman"/>
              </w:rPr>
              <w:t xml:space="preserve"> lub </w:t>
            </w:r>
            <w:r>
              <w:rPr>
                <w:rFonts w:ascii="Cambria" w:eastAsia="Times New Roman" w:hAnsi="Cambria" w:cs="Times New Roman"/>
              </w:rPr>
              <w:lastRenderedPageBreak/>
              <w:t>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1F8CC8D" w14:textId="25AA50A4" w:rsidR="00FB75CF" w:rsidRPr="00496443" w:rsidRDefault="00FB75CF" w:rsidP="00FB75CF">
            <w:pPr>
              <w:jc w:val="both"/>
              <w:rPr>
                <w:rFonts w:ascii="Cambria" w:eastAsia="Times New Roman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U</w:t>
            </w:r>
            <w:r w:rsidRPr="00A06974">
              <w:rPr>
                <w:rFonts w:ascii="Cambria" w:hAnsi="Cambria"/>
                <w:bCs/>
              </w:rPr>
              <w:t xml:space="preserve">niwersalna pomoc dydaktyczna, która wesprze nauczycieli informatyki w kształtowaniu kompetencji z zakresu </w:t>
            </w:r>
            <w:r w:rsidRPr="00A06974">
              <w:rPr>
                <w:rStyle w:val="Pogrubienie"/>
                <w:rFonts w:ascii="Cambria" w:hAnsi="Cambria"/>
                <w:b w:val="0"/>
              </w:rPr>
              <w:t xml:space="preserve">STREAM (z ang. Science, Technology, Reading, Engineering, </w:t>
            </w:r>
            <w:proofErr w:type="spellStart"/>
            <w:r w:rsidRPr="00A06974">
              <w:rPr>
                <w:rStyle w:val="Pogrubienie"/>
                <w:rFonts w:ascii="Cambria" w:hAnsi="Cambria"/>
                <w:b w:val="0"/>
              </w:rPr>
              <w:t>Arts</w:t>
            </w:r>
            <w:proofErr w:type="spellEnd"/>
            <w:r w:rsidRPr="00A06974">
              <w:rPr>
                <w:rStyle w:val="Pogrubienie"/>
                <w:rFonts w:ascii="Cambria" w:hAnsi="Cambria"/>
                <w:b w:val="0"/>
              </w:rPr>
              <w:t xml:space="preserve">, </w:t>
            </w:r>
            <w:proofErr w:type="spellStart"/>
            <w:r w:rsidRPr="00A06974">
              <w:rPr>
                <w:rStyle w:val="Pogrubienie"/>
                <w:rFonts w:ascii="Cambria" w:hAnsi="Cambria"/>
                <w:b w:val="0"/>
              </w:rPr>
              <w:t>Mathematics</w:t>
            </w:r>
            <w:proofErr w:type="spellEnd"/>
            <w:r w:rsidRPr="00A06974">
              <w:rPr>
                <w:rStyle w:val="Pogrubienie"/>
                <w:rFonts w:ascii="Cambria" w:hAnsi="Cambria"/>
                <w:b w:val="0"/>
              </w:rPr>
              <w:t>)</w:t>
            </w:r>
            <w:r w:rsidRPr="00A06974">
              <w:rPr>
                <w:rStyle w:val="Pogrubienie"/>
                <w:rFonts w:ascii="Cambria" w:hAnsi="Cambria" w:cs="Times New Roman"/>
                <w:bCs w:val="0"/>
              </w:rPr>
              <w:t xml:space="preserve"> </w:t>
            </w:r>
            <w:r w:rsidRPr="00A06974">
              <w:rPr>
                <w:rFonts w:ascii="Cambria" w:hAnsi="Cambria"/>
                <w:bCs/>
              </w:rPr>
              <w:t xml:space="preserve">Dzięki połączeniu robota z mikrokontrolerem, uczniowie będą mogli tworzyć i programować działanie własnych urządzeń, m.in. wykorzystując potencjał czujnika temperatury, możliwości wykrywania dźwięków czy pola magnetycznego. Skład zestawu: </w:t>
            </w:r>
            <w:r w:rsidRPr="00A06974">
              <w:rPr>
                <w:rFonts w:ascii="Cambria" w:hAnsi="Cambria" w:cs="Times New Roman"/>
                <w:bCs/>
              </w:rPr>
              <w:lastRenderedPageBreak/>
              <w:t xml:space="preserve">robot typu </w:t>
            </w:r>
            <w:proofErr w:type="spellStart"/>
            <w:r w:rsidRPr="00A06974">
              <w:rPr>
                <w:rFonts w:ascii="Cambria" w:hAnsi="Cambria" w:cs="Times New Roman"/>
                <w:bCs/>
              </w:rPr>
              <w:t>Photon</w:t>
            </w:r>
            <w:proofErr w:type="spellEnd"/>
            <w:r w:rsidRPr="00A06974">
              <w:rPr>
                <w:rFonts w:ascii="Cambria" w:hAnsi="Cambria" w:cs="Times New Roman"/>
                <w:bCs/>
              </w:rPr>
              <w:t xml:space="preserve"> EDU</w:t>
            </w:r>
            <w:r>
              <w:rPr>
                <w:rFonts w:ascii="Cambria" w:hAnsi="Cambria" w:cs="Times New Roman"/>
                <w:bCs/>
              </w:rPr>
              <w:t xml:space="preserve"> lub równoważny</w:t>
            </w:r>
            <w:r w:rsidRPr="00A06974">
              <w:rPr>
                <w:rFonts w:ascii="Cambria" w:hAnsi="Cambria" w:cs="Times New Roman"/>
                <w:bCs/>
              </w:rPr>
              <w:t xml:space="preserve">, 2 szt. dostęp do zestawu scenariuszy zajęć (16 szt.), adapter USB </w:t>
            </w:r>
            <w:r>
              <w:rPr>
                <w:rFonts w:ascii="Cambria" w:hAnsi="Cambria" w:cs="Times New Roman"/>
                <w:bCs/>
              </w:rPr>
              <w:t xml:space="preserve">typu </w:t>
            </w:r>
            <w:proofErr w:type="spellStart"/>
            <w:r w:rsidRPr="00A06974">
              <w:rPr>
                <w:rFonts w:ascii="Cambria" w:hAnsi="Cambria" w:cs="Times New Roman"/>
                <w:bCs/>
              </w:rPr>
              <w:t>Photon</w:t>
            </w:r>
            <w:proofErr w:type="spellEnd"/>
            <w:r w:rsidRPr="00A06974">
              <w:rPr>
                <w:rFonts w:ascii="Cambria" w:hAnsi="Cambria" w:cs="Times New Roman"/>
                <w:bCs/>
              </w:rPr>
              <w:t xml:space="preserve"> Magic </w:t>
            </w:r>
            <w:proofErr w:type="spellStart"/>
            <w:r w:rsidRPr="00A06974">
              <w:rPr>
                <w:rFonts w:ascii="Cambria" w:hAnsi="Cambria" w:cs="Times New Roman"/>
                <w:bCs/>
              </w:rPr>
              <w:t>Dongle</w:t>
            </w:r>
            <w:proofErr w:type="spellEnd"/>
            <w:r w:rsidRPr="00A06974">
              <w:rPr>
                <w:rFonts w:ascii="Cambria" w:hAnsi="Cambria" w:cs="Times New Roman"/>
                <w:bCs/>
              </w:rPr>
              <w:t xml:space="preserve"> </w:t>
            </w:r>
            <w:r>
              <w:rPr>
                <w:rFonts w:ascii="Cambria" w:hAnsi="Cambria" w:cs="Times New Roman"/>
                <w:bCs/>
              </w:rPr>
              <w:t xml:space="preserve">lub równoważny </w:t>
            </w:r>
            <w:r w:rsidRPr="00A06974">
              <w:rPr>
                <w:rFonts w:ascii="Cambria" w:hAnsi="Cambria" w:cs="Times New Roman"/>
                <w:bCs/>
              </w:rPr>
              <w:t xml:space="preserve">(2 szt.), BBC </w:t>
            </w:r>
            <w:proofErr w:type="spellStart"/>
            <w:r w:rsidRPr="00A06974">
              <w:rPr>
                <w:rFonts w:ascii="Cambria" w:hAnsi="Cambria" w:cs="Times New Roman"/>
                <w:bCs/>
              </w:rPr>
              <w:t>micro:bit</w:t>
            </w:r>
            <w:proofErr w:type="spellEnd"/>
            <w:r w:rsidRPr="00A06974">
              <w:rPr>
                <w:rFonts w:ascii="Cambria" w:hAnsi="Cambria" w:cs="Times New Roman"/>
                <w:bCs/>
              </w:rPr>
              <w:t xml:space="preserve"> v2 (2 szt.), uchwyt na </w:t>
            </w:r>
            <w:proofErr w:type="spellStart"/>
            <w:r w:rsidRPr="00A06974">
              <w:rPr>
                <w:rFonts w:ascii="Cambria" w:hAnsi="Cambria" w:cs="Times New Roman"/>
                <w:bCs/>
              </w:rPr>
              <w:t>micro:bit</w:t>
            </w:r>
            <w:proofErr w:type="spellEnd"/>
            <w:r w:rsidRPr="00A06974">
              <w:rPr>
                <w:rFonts w:ascii="Cambria" w:hAnsi="Cambria" w:cs="Times New Roman"/>
                <w:bCs/>
              </w:rPr>
              <w:t xml:space="preserve"> (2 szt.), kable zasilające, akcesoria.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C0AA0" w14:textId="0170944E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lastRenderedPageBreak/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67F4" w14:textId="396E2A40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CE96" w14:textId="049EC051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A7BC233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5E49DD3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4270EFEC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6653CAF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7B5D792C" w14:textId="34D5D97F" w:rsidTr="0048457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EEB82" w14:textId="37F77B11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3B6FD" w14:textId="06D7E98D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eastAsia="Times New Roman" w:cs="Times New Roman"/>
              </w:rPr>
              <w:t>I</w:t>
            </w:r>
            <w:r w:rsidRPr="00F55B98">
              <w:rPr>
                <w:rFonts w:eastAsia="Times New Roman" w:cs="Times New Roman"/>
              </w:rPr>
              <w:t xml:space="preserve">nteraktywny materiał do nauki przy użyciu tablicy multimedialnej </w:t>
            </w:r>
            <w:r>
              <w:rPr>
                <w:rFonts w:eastAsia="Times New Roman" w:cs="Times New Roman"/>
              </w:rPr>
              <w:t xml:space="preserve">typu </w:t>
            </w:r>
            <w:r w:rsidRPr="001558C9">
              <w:rPr>
                <w:rFonts w:eastAsia="Times New Roman" w:cs="Times New Roman"/>
              </w:rPr>
              <w:t>Multimedialna Pracownia Przedmiotowa Matematyka</w:t>
            </w:r>
            <w:r>
              <w:rPr>
                <w:rFonts w:eastAsia="Times New Roman" w:cs="Times New Roman"/>
              </w:rPr>
              <w:t xml:space="preserve"> lub równoważny</w:t>
            </w:r>
            <w:r w:rsidRPr="001558C9">
              <w:rPr>
                <w:rFonts w:eastAsia="Times New Roman" w:cs="Times New Roman"/>
              </w:rPr>
              <w:t>, kl. 4-8 - licencja dla nauczycieli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8C333" w14:textId="77777777" w:rsidR="00FB75CF" w:rsidRPr="001558C9" w:rsidRDefault="00FB75CF" w:rsidP="00FB75CF">
            <w:pPr>
              <w:pStyle w:val="Nagwek4"/>
              <w:numPr>
                <w:ilvl w:val="1"/>
                <w:numId w:val="3"/>
              </w:numPr>
              <w:tabs>
                <w:tab w:val="clear" w:pos="576"/>
                <w:tab w:val="num" w:pos="0"/>
              </w:tabs>
              <w:spacing w:before="0" w:after="0" w:line="276" w:lineRule="auto"/>
              <w:ind w:left="72" w:firstLine="0"/>
              <w:jc w:val="both"/>
              <w:outlineLvl w:val="3"/>
              <w:rPr>
                <w:rFonts w:ascii="Cambria" w:hAnsi="Cambria" w:cs="Times New Roman"/>
                <w:b w:val="0"/>
                <w:sz w:val="22"/>
                <w:szCs w:val="22"/>
              </w:rPr>
            </w:pPr>
            <w:r w:rsidRPr="001558C9">
              <w:rPr>
                <w:rFonts w:ascii="Cambria" w:hAnsi="Cambria" w:cs="Times New Roman"/>
                <w:b w:val="0"/>
                <w:sz w:val="22"/>
                <w:szCs w:val="22"/>
              </w:rPr>
              <w:t>Multimedialny program dydaktyczny do nauki matematyki w klasach 4 – 8 szkoły podstawowej.</w:t>
            </w:r>
          </w:p>
          <w:p w14:paraId="22B31E00" w14:textId="1D153A65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F55B98">
              <w:rPr>
                <w:rFonts w:ascii="Cambria" w:hAnsi="Cambria"/>
              </w:rPr>
              <w:t>Program obejmuje: co najmniej: 22</w:t>
            </w:r>
            <w:r w:rsidRPr="001558C9">
              <w:rPr>
                <w:rFonts w:ascii="Cambria" w:hAnsi="Cambria"/>
              </w:rPr>
              <w:t xml:space="preserve"> zagadnienia, 93 lekcje, 1500 ekranów, 1066 zadań, 38 filmów, 111 symulacji, 22 obiekty 3D, 31 gier dydaktycznych, 3 plansze interaktywne, zestaw plansz wraz z przewodnikiem do aktywizacji klasy przy tablicy interaktywnej, wersja online &amp; </w:t>
            </w:r>
            <w:proofErr w:type="spellStart"/>
            <w:r w:rsidRPr="001558C9">
              <w:rPr>
                <w:rFonts w:ascii="Cambria" w:hAnsi="Cambria"/>
              </w:rPr>
              <w:t>offline</w:t>
            </w:r>
            <w:proofErr w:type="spellEnd"/>
            <w:r w:rsidRPr="001558C9">
              <w:rPr>
                <w:rFonts w:ascii="Cambria" w:hAnsi="Cambria"/>
              </w:rPr>
              <w:t>, bezterminowa licencja dla 3 nauczycieli, możliwość pobrania i instalacji na 6 urządzeniach (komputer, tablet)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29EB8" w14:textId="5FB8110A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FE5F1" w14:textId="4CA8F59A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1403" w14:textId="594494A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1C3158D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6003CA7F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EA7C9D0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B05A166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2B68EE7C" w14:textId="720D8BBC" w:rsidTr="00484579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E9521" w14:textId="2C3911F2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219D" w14:textId="04EC86D3" w:rsidR="00FB75CF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 xml:space="preserve">Program multimedialny </w:t>
            </w:r>
            <w:r>
              <w:rPr>
                <w:rFonts w:cs="Times New Roman"/>
              </w:rPr>
              <w:t xml:space="preserve">typu </w:t>
            </w:r>
            <w:proofErr w:type="spellStart"/>
            <w:r w:rsidRPr="001558C9">
              <w:rPr>
                <w:rFonts w:cs="Times New Roman"/>
              </w:rPr>
              <w:t>Lekcjoteka</w:t>
            </w:r>
            <w:proofErr w:type="spellEnd"/>
            <w:r w:rsidRPr="001558C9">
              <w:rPr>
                <w:rFonts w:cs="Times New Roman"/>
              </w:rPr>
              <w:t xml:space="preserve"> Matematyka-baza prac domowych</w:t>
            </w:r>
            <w:r>
              <w:rPr>
                <w:rFonts w:cs="Times New Roman"/>
              </w:rPr>
              <w:t xml:space="preserve"> lub równoważny</w:t>
            </w:r>
            <w:r w:rsidRPr="001558C9">
              <w:rPr>
                <w:rFonts w:cs="Times New Roman"/>
              </w:rPr>
              <w:t>, klasa 4-8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88FD7" w14:textId="05879D54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ascii="Cambria" w:hAnsi="Cambria" w:cs="Times New Roman"/>
              </w:rPr>
              <w:t>Baza pomysłów na prowadzenie zajęć z wykorzystaniem narzędzi multimedialnych. Praca z programem to połączenie nowoczesnych metod prezentacji materiału (animacji, filmów, doskonałych symulacji, prezentacji i zdjęć) z  interaktywnymi ćwiczeniami, dzięki którym podstawowa wiedza jest przyswajana przez dzieci szybko i efektywnie. Przedmiot: matematyka, Zestaw obejmuje co najmniej:  36 zagadnień wraz z dołączonymi scenariuszami lekcji w formie drukowanej i elektronicznej (pliki PDF). Około 50 animacji i ilustracji. Ponad 100 symulacji, ćwiczeń interaktywnych, prezentacji i filmów  Możliwość zainstalowania programu niezależnie na 6 stanowiskach komputerowych.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1CED" w14:textId="4C0669A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  <w:r w:rsidRPr="001558C9">
              <w:rPr>
                <w:rFonts w:ascii="Cambria" w:hAnsi="Cambria" w:cs="Times New Roman"/>
              </w:rPr>
              <w:t xml:space="preserve"> 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96BAB" w14:textId="7F031B8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21B" w14:textId="3707B178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FC9E360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168D9C64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212A85C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CB6A8A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2AD4FF05" w14:textId="5670E429" w:rsidTr="00484579">
        <w:trPr>
          <w:trHeight w:val="91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DB5E" w14:textId="2472316E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2AFAB" w14:textId="0B4A6718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>Program multimedialny</w:t>
            </w:r>
            <w:r>
              <w:rPr>
                <w:rFonts w:cs="Times New Roman"/>
              </w:rPr>
              <w:t xml:space="preserve"> typu</w:t>
            </w:r>
            <w:r w:rsidRPr="001558C9">
              <w:rPr>
                <w:rFonts w:cs="Times New Roman"/>
              </w:rPr>
              <w:t xml:space="preserve"> MATEMATYKA kl. 6-8- Baza Prac domowych</w:t>
            </w:r>
            <w:r>
              <w:rPr>
                <w:rFonts w:cs="Times New Roman"/>
              </w:rPr>
              <w:t xml:space="preserve"> lub 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3130D" w14:textId="7DD800B0" w:rsidR="00FB75CF" w:rsidRPr="00496443" w:rsidRDefault="00FB75CF" w:rsidP="00FB75CF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1558C9">
              <w:rPr>
                <w:rFonts w:ascii="Cambria" w:hAnsi="Cambria" w:cs="Times New Roman"/>
              </w:rPr>
              <w:t xml:space="preserve">Zbiór </w:t>
            </w:r>
            <w:r w:rsidRPr="001558C9">
              <w:rPr>
                <w:rFonts w:ascii="Cambria" w:hAnsi="Cambria" w:cs="Times New Roman"/>
                <w:bCs/>
              </w:rPr>
              <w:t>gotowych zestawów prac domowych w postaci multimedialnych i interaktywnych ćwiczeń. Charakterystyka</w:t>
            </w:r>
            <w:r w:rsidRPr="001558C9">
              <w:rPr>
                <w:rFonts w:ascii="Cambria" w:hAnsi="Cambria" w:cs="Times New Roman"/>
                <w:b/>
                <w:bCs/>
              </w:rPr>
              <w:t>:</w:t>
            </w:r>
            <w:r w:rsidRPr="001558C9">
              <w:rPr>
                <w:rFonts w:ascii="Cambria" w:hAnsi="Cambria" w:cs="Times New Roman"/>
              </w:rPr>
              <w:t xml:space="preserve"> </w:t>
            </w:r>
            <w:r w:rsidRPr="001558C9">
              <w:rPr>
                <w:rFonts w:ascii="Cambria" w:eastAsia="Times New Roman" w:hAnsi="Cambria" w:cs="Times New Roman"/>
              </w:rPr>
              <w:t xml:space="preserve">licencja otwarta dla szkoły na 36 miesięcy, dopasowane do podręczników: Nowa Era, </w:t>
            </w:r>
            <w:proofErr w:type="spellStart"/>
            <w:r w:rsidRPr="001558C9">
              <w:rPr>
                <w:rFonts w:ascii="Cambria" w:eastAsia="Times New Roman" w:hAnsi="Cambria" w:cs="Times New Roman"/>
              </w:rPr>
              <w:t>WSiP</w:t>
            </w:r>
            <w:proofErr w:type="spellEnd"/>
            <w:r w:rsidRPr="001558C9">
              <w:rPr>
                <w:rFonts w:ascii="Cambria" w:eastAsia="Times New Roman" w:hAnsi="Cambria" w:cs="Times New Roman"/>
              </w:rPr>
              <w:t>, GWO, liczba lekcji: ok.384,  liczba zadań ok. 1152.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EAE3E" w14:textId="1809ED50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  <w:r w:rsidRPr="001558C9">
              <w:rPr>
                <w:rFonts w:ascii="Cambria" w:hAnsi="Cambria" w:cs="Times New Roman"/>
              </w:rPr>
              <w:t xml:space="preserve"> 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F562B" w14:textId="24D51B1B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7AB3" w14:textId="3D302A8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C127C0B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37EB645A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5D7E43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EDDC66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2B2EF177" w14:textId="172D174A" w:rsidTr="00484579">
        <w:trPr>
          <w:trHeight w:val="4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1C10" w14:textId="4BDF0B7F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29CA4B4D" w14:textId="57237A80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 xml:space="preserve">Program multimedialny </w:t>
            </w:r>
            <w:r>
              <w:rPr>
                <w:rFonts w:cs="Times New Roman"/>
              </w:rPr>
              <w:t xml:space="preserve">typu </w:t>
            </w:r>
            <w:r w:rsidRPr="001558C9">
              <w:rPr>
                <w:rFonts w:cs="Times New Roman"/>
              </w:rPr>
              <w:t>MATEMATYKA kl. 4-5- Baza Prac domowych</w:t>
            </w:r>
            <w:r>
              <w:rPr>
                <w:rFonts w:cs="Times New Roman"/>
              </w:rPr>
              <w:t xml:space="preserve"> lub 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3064658" w14:textId="5D267BBE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ascii="Cambria" w:hAnsi="Cambria" w:cs="Times New Roman"/>
              </w:rPr>
              <w:t xml:space="preserve">Baza Prac Domowych MATEMATYKA, klasa 4-5. Zbiór </w:t>
            </w:r>
            <w:r w:rsidRPr="001558C9">
              <w:rPr>
                <w:rFonts w:ascii="Cambria" w:hAnsi="Cambria" w:cs="Times New Roman"/>
                <w:bCs/>
              </w:rPr>
              <w:t>gotowych zestawów prac domowych w postaci multimedialnych i interaktywnych ćwiczeń. Charakterystyka</w:t>
            </w:r>
            <w:r w:rsidRPr="001558C9">
              <w:rPr>
                <w:rFonts w:ascii="Cambria" w:hAnsi="Cambria" w:cs="Times New Roman"/>
                <w:b/>
                <w:bCs/>
              </w:rPr>
              <w:t>:</w:t>
            </w:r>
            <w:r w:rsidRPr="001558C9">
              <w:rPr>
                <w:rFonts w:ascii="Cambria" w:hAnsi="Cambria" w:cs="Times New Roman"/>
              </w:rPr>
              <w:t xml:space="preserve"> </w:t>
            </w:r>
            <w:r w:rsidRPr="001558C9">
              <w:rPr>
                <w:rFonts w:ascii="Cambria" w:eastAsia="Times New Roman" w:hAnsi="Cambria" w:cs="Times New Roman"/>
              </w:rPr>
              <w:t xml:space="preserve">licencja otwarta dla szkoły na 36 miesięcy, dopasowane do podręczników: Nowa Era, </w:t>
            </w:r>
            <w:proofErr w:type="spellStart"/>
            <w:r w:rsidRPr="001558C9">
              <w:rPr>
                <w:rFonts w:ascii="Cambria" w:eastAsia="Times New Roman" w:hAnsi="Cambria" w:cs="Times New Roman"/>
              </w:rPr>
              <w:t>WSiP</w:t>
            </w:r>
            <w:proofErr w:type="spellEnd"/>
            <w:r w:rsidRPr="001558C9">
              <w:rPr>
                <w:rFonts w:ascii="Cambria" w:eastAsia="Times New Roman" w:hAnsi="Cambria" w:cs="Times New Roman"/>
              </w:rPr>
              <w:t>, GWO, liczba lekcji: ok. 320,  liczba zadań ok. 960.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62AD" w14:textId="713EF4F5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Szt.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7658" w14:textId="4ADA94D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CC3C" w14:textId="7BDC400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A5D424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5D4C135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A20ADA9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37E32A6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2A3FB3CA" w14:textId="20DDA36E" w:rsidTr="00484579">
        <w:trPr>
          <w:trHeight w:val="4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229A3" w14:textId="46C8EC5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90C00" w14:textId="5FE3F8DF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 xml:space="preserve">Program multimedialny Zestaw ćwiczeń i materiałów interaktywnych wspomagający organizację pomocy psychologiczno-terapeutycznej; Obszar </w:t>
            </w:r>
            <w:r w:rsidRPr="001558C9">
              <w:rPr>
                <w:rFonts w:cs="Times New Roman"/>
              </w:rPr>
              <w:lastRenderedPageBreak/>
              <w:t>matematyczny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33FE7" w14:textId="7B26B1F9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ascii="Cambria" w:hAnsi="Cambria"/>
              </w:rPr>
              <w:lastRenderedPageBreak/>
              <w:t xml:space="preserve">Program multimedialny Zestaw ćwiczeń i materiałów interaktywnych do wykorzystania podczas zajęć wyrównawczych, </w:t>
            </w:r>
            <w:proofErr w:type="spellStart"/>
            <w:r w:rsidRPr="001558C9">
              <w:rPr>
                <w:rFonts w:ascii="Cambria" w:hAnsi="Cambria"/>
              </w:rPr>
              <w:t>korekcyjno</w:t>
            </w:r>
            <w:proofErr w:type="spellEnd"/>
            <w:r w:rsidRPr="001558C9">
              <w:rPr>
                <w:rFonts w:ascii="Cambria" w:hAnsi="Cambria"/>
              </w:rPr>
              <w:t xml:space="preserve"> kompensacyjnych i rewalidacyjnych z obszaru edukacji matematycznej dla uczniów klas 4-6. L</w:t>
            </w:r>
            <w:r w:rsidRPr="001558C9">
              <w:rPr>
                <w:rFonts w:ascii="Cambria" w:hAnsi="Cambria"/>
                <w:bCs/>
              </w:rPr>
              <w:t>iczba licencji:  on-</w:t>
            </w:r>
            <w:proofErr w:type="spellStart"/>
            <w:r w:rsidRPr="001558C9">
              <w:rPr>
                <w:rFonts w:ascii="Cambria" w:hAnsi="Cambria"/>
                <w:bCs/>
              </w:rPr>
              <w:t>line</w:t>
            </w:r>
            <w:proofErr w:type="spellEnd"/>
            <w:r w:rsidRPr="001558C9">
              <w:rPr>
                <w:rFonts w:ascii="Cambria" w:hAnsi="Cambria"/>
                <w:bCs/>
              </w:rPr>
              <w:t>: 3</w:t>
            </w:r>
            <w:r w:rsidRPr="001558C9">
              <w:rPr>
                <w:rFonts w:ascii="Cambria" w:hAnsi="Cambria"/>
                <w:b/>
                <w:bCs/>
              </w:rPr>
              <w:t xml:space="preserve"> </w:t>
            </w:r>
            <w:r w:rsidRPr="001558C9">
              <w:rPr>
                <w:rFonts w:ascii="Cambria" w:hAnsi="Cambria"/>
              </w:rPr>
              <w:t xml:space="preserve">(logowanie na każdym urządzeniu z dostępem do </w:t>
            </w:r>
            <w:proofErr w:type="spellStart"/>
            <w:r w:rsidRPr="001558C9">
              <w:rPr>
                <w:rFonts w:ascii="Cambria" w:hAnsi="Cambria"/>
              </w:rPr>
              <w:t>internetu</w:t>
            </w:r>
            <w:proofErr w:type="spellEnd"/>
            <w:r w:rsidRPr="001558C9">
              <w:rPr>
                <w:rFonts w:ascii="Cambria" w:hAnsi="Cambria"/>
              </w:rPr>
              <w:t xml:space="preserve"> przy pomocy loginu i hasła.        </w:t>
            </w:r>
            <w:r w:rsidRPr="001558C9">
              <w:rPr>
                <w:rFonts w:ascii="Cambria" w:hAnsi="Cambria"/>
              </w:rPr>
              <w:br/>
              <w:t>3 niezależne konta nauczycielskie</w:t>
            </w:r>
            <w:r w:rsidRPr="001558C9">
              <w:rPr>
                <w:rFonts w:ascii="Cambria" w:hAnsi="Cambria"/>
                <w:b/>
                <w:bCs/>
              </w:rPr>
              <w:t xml:space="preserve">), </w:t>
            </w:r>
            <w:r w:rsidRPr="001558C9">
              <w:rPr>
                <w:rFonts w:ascii="Cambria" w:hAnsi="Cambria"/>
                <w:bCs/>
              </w:rPr>
              <w:t>off-</w:t>
            </w:r>
            <w:proofErr w:type="spellStart"/>
            <w:r w:rsidRPr="001558C9">
              <w:rPr>
                <w:rFonts w:ascii="Cambria" w:hAnsi="Cambria"/>
                <w:bCs/>
              </w:rPr>
              <w:t>line</w:t>
            </w:r>
            <w:proofErr w:type="spellEnd"/>
            <w:r w:rsidRPr="001558C9">
              <w:rPr>
                <w:rFonts w:ascii="Cambria" w:hAnsi="Cambria"/>
                <w:bCs/>
              </w:rPr>
              <w:t>: 6</w:t>
            </w:r>
            <w:r w:rsidRPr="001558C9">
              <w:rPr>
                <w:rFonts w:ascii="Cambria" w:hAnsi="Cambria"/>
                <w:b/>
                <w:bCs/>
              </w:rPr>
              <w:t xml:space="preserve"> </w:t>
            </w:r>
            <w:r w:rsidRPr="001558C9">
              <w:rPr>
                <w:rFonts w:ascii="Cambria" w:hAnsi="Cambria"/>
              </w:rPr>
              <w:t xml:space="preserve">(możliwość pobrania zasobów za pomocą aplikacji </w:t>
            </w:r>
            <w:proofErr w:type="spellStart"/>
            <w:r w:rsidRPr="001558C9">
              <w:rPr>
                <w:rFonts w:ascii="Cambria" w:hAnsi="Cambria"/>
              </w:rPr>
              <w:t>mLibro</w:t>
            </w:r>
            <w:proofErr w:type="spellEnd"/>
            <w:r w:rsidRPr="001558C9">
              <w:rPr>
                <w:rFonts w:ascii="Cambria" w:hAnsi="Cambria"/>
              </w:rPr>
              <w:t xml:space="preserve"> na sześć urządzeń </w:t>
            </w:r>
            <w:r w:rsidRPr="001558C9">
              <w:rPr>
                <w:rFonts w:ascii="Cambria" w:hAnsi="Cambria"/>
              </w:rPr>
              <w:br/>
              <w:t xml:space="preserve">następnie praca bez dostępu do </w:t>
            </w:r>
            <w:proofErr w:type="spellStart"/>
            <w:r w:rsidRPr="001558C9">
              <w:rPr>
                <w:rFonts w:ascii="Cambria" w:hAnsi="Cambria"/>
              </w:rPr>
              <w:t>internetu</w:t>
            </w:r>
            <w:proofErr w:type="spellEnd"/>
            <w:r w:rsidRPr="001558C9">
              <w:rPr>
                <w:rFonts w:ascii="Cambria" w:hAnsi="Cambria"/>
              </w:rPr>
              <w:t>)</w:t>
            </w:r>
            <w:r w:rsidRPr="001558C9">
              <w:rPr>
                <w:rFonts w:ascii="Cambria" w:hAnsi="Cambria"/>
                <w:b/>
                <w:bCs/>
              </w:rPr>
              <w:br/>
            </w:r>
            <w:r w:rsidRPr="001558C9">
              <w:rPr>
                <w:rFonts w:ascii="Cambria" w:hAnsi="Cambria"/>
                <w:bCs/>
                <w:u w:val="single"/>
              </w:rPr>
              <w:t>czas trwania licencji:</w:t>
            </w:r>
            <w:r w:rsidRPr="001558C9">
              <w:rPr>
                <w:rFonts w:ascii="Cambria" w:hAnsi="Cambria"/>
                <w:bCs/>
              </w:rPr>
              <w:t> bezterminowa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6613" w14:textId="4535CFE6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Szt.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3A2C6" w14:textId="01F2190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3E6E" w14:textId="4B913538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50156EE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9941D1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BF9DB67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71D384C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5072F096" w14:textId="5A99D3FB" w:rsidTr="00484579">
        <w:trPr>
          <w:trHeight w:val="43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11E34" w14:textId="252094D6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616F0" w14:textId="05B24F6C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53704D">
              <w:rPr>
                <w:rFonts w:cs="Times New Roman"/>
              </w:rPr>
              <w:t xml:space="preserve">Program multimedialny do nauki biologii dla klas 5-8 typu </w:t>
            </w:r>
            <w:r w:rsidRPr="0053704D">
              <w:rPr>
                <w:rFonts w:eastAsia="Times New Roman" w:cs="Times New Roman"/>
                <w:bCs/>
              </w:rPr>
              <w:t>MPP Biologia lub 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4FD05" w14:textId="4CF273E0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F52B85">
              <w:rPr>
                <w:rFonts w:ascii="Cambria" w:hAnsi="Cambria"/>
                <w:bCs/>
              </w:rPr>
              <w:t xml:space="preserve">Multimedialny program dydaktyczny do nauki biologii w klasach 5 – 8 szkoły podstawowej. </w:t>
            </w:r>
            <w:r w:rsidRPr="00F52B85">
              <w:rPr>
                <w:rFonts w:ascii="Cambria" w:eastAsia="Times New Roman" w:hAnsi="Cambria" w:cs="Times New Roman"/>
                <w:bCs/>
              </w:rPr>
              <w:t>Multimedialny program obejmuje co najmniej: 14 zagadnień, 42 lekcje (po 14 lekcji "Powtórz wiedzę", "Czas na test" i "Sprawdź się"), 787 ekranów, 531 zadań, 16 filmów, 1 symulacja, 71 interaktywnych obiektów (pokaz slajdów, interaktywne ilustracje), 4 gier dydaktycznych, 3 plansze interaktywne, zestaw plansz do aktywizacji klasy przy tablicy interaktywnej wraz z przewodnikiem metodycznym, licencja dla 3 nauczycieli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B6DD3" w14:textId="148D3FD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11CA7" w14:textId="341324F1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2D2E" w14:textId="1CB375BF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1A48F1F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D012127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18F85A32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A66309B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5B4E5EF5" w14:textId="1D637DC8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421D1" w14:textId="433A8F4E" w:rsidR="00FB75CF" w:rsidRPr="003D02EC" w:rsidRDefault="00FB75CF" w:rsidP="00FB75CF">
            <w:pPr>
              <w:spacing w:line="276" w:lineRule="auto"/>
              <w:ind w:left="74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10</w:t>
            </w:r>
          </w:p>
          <w:p w14:paraId="19C2508E" w14:textId="77777777" w:rsidR="00FB75CF" w:rsidRPr="003D02EC" w:rsidRDefault="00FB75CF" w:rsidP="00FB75CF">
            <w:pPr>
              <w:spacing w:line="276" w:lineRule="auto"/>
              <w:ind w:left="74"/>
              <w:jc w:val="center"/>
              <w:rPr>
                <w:rFonts w:ascii="Cambria" w:hAnsi="Cambria" w:cs="Times New Roman"/>
              </w:rPr>
            </w:pPr>
          </w:p>
          <w:p w14:paraId="64849124" w14:textId="0A0F09B5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3CDBE" w14:textId="21644A6A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 xml:space="preserve">Multimedialny program edukacyjny typu </w:t>
            </w:r>
            <w:proofErr w:type="spellStart"/>
            <w:r w:rsidRPr="001558C9">
              <w:rPr>
                <w:rFonts w:cs="Times New Roman"/>
              </w:rPr>
              <w:t>Didakta</w:t>
            </w:r>
            <w:proofErr w:type="spellEnd"/>
            <w:r w:rsidRPr="001558C9">
              <w:rPr>
                <w:rFonts w:cs="Times New Roman"/>
              </w:rPr>
              <w:t xml:space="preserve"> – Biologia 2</w:t>
            </w:r>
            <w:r>
              <w:rPr>
                <w:rFonts w:cs="Times New Roman"/>
              </w:rPr>
              <w:t xml:space="preserve"> lub 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6EFEB" w14:textId="2FE6D89C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</w:rPr>
            </w:pPr>
            <w:r w:rsidRPr="001558C9">
              <w:rPr>
                <w:rFonts w:ascii="Cambria" w:hAnsi="Cambria"/>
                <w:bCs/>
              </w:rPr>
              <w:t xml:space="preserve">Multimedialny program </w:t>
            </w:r>
            <w:r w:rsidRPr="001558C9">
              <w:rPr>
                <w:rFonts w:ascii="Cambria" w:hAnsi="Cambria"/>
              </w:rPr>
              <w:t>służ</w:t>
            </w:r>
            <w:r>
              <w:rPr>
                <w:rFonts w:ascii="Cambria" w:hAnsi="Cambria"/>
              </w:rPr>
              <w:t>ący</w:t>
            </w:r>
            <w:r w:rsidRPr="001558C9">
              <w:rPr>
                <w:rFonts w:ascii="Cambria" w:hAnsi="Cambria"/>
              </w:rPr>
              <w:t xml:space="preserve"> do przećwiczenia wiadomości i znajomości z zakresu świata roślin i zwierząt, przeznaczony dla klas 4-8 szkoły podstawowej.</w:t>
            </w:r>
            <w:r w:rsidRPr="001558C9">
              <w:rPr>
                <w:rFonts w:ascii="Cambria" w:hAnsi="Cambria"/>
                <w:bCs/>
              </w:rPr>
              <w:t xml:space="preserve"> Program umożliwia naukę o świecie roślin, zwierząt i ekosystemów poprzez interaktywne ćwiczenia i testy, które sprawdzają zdobytą wiedzę. Uzyskane wyniki są automatycznie zapisywane w pliku zawierającym informacje o dacie, godzinie, liczbie poprawnych i błędnych odpowiedzi oraz końcowej ocenie. Program</w:t>
            </w:r>
            <w:r w:rsidRPr="001558C9">
              <w:rPr>
                <w:rFonts w:ascii="Cambria" w:hAnsi="Cambria" w:cs="Times New Roman"/>
              </w:rPr>
              <w:t xml:space="preserve"> </w:t>
            </w:r>
            <w:r w:rsidRPr="001558C9">
              <w:rPr>
                <w:rFonts w:ascii="Cambria" w:hAnsi="Cambria"/>
                <w:bCs/>
              </w:rPr>
              <w:t xml:space="preserve">podzielony na działy tematyczne: Ziemia i początki życia, Grzyby, porosty, rośliny, Bezkręgowce, Strunowce i kręgowce, Ekosystemy </w:t>
            </w:r>
            <w:r w:rsidRPr="0053704D">
              <w:rPr>
                <w:rStyle w:val="Pogrubienie"/>
                <w:rFonts w:ascii="Cambria" w:eastAsia="OpenSymbol" w:hAnsi="Cambria" w:cs="Times New Roman"/>
                <w:b w:val="0"/>
                <w:bCs w:val="0"/>
              </w:rPr>
              <w:t>P</w:t>
            </w:r>
            <w:r w:rsidRPr="001558C9">
              <w:rPr>
                <w:rFonts w:ascii="Cambria" w:hAnsi="Cambria" w:cs="Times New Roman"/>
                <w:bCs/>
              </w:rPr>
              <w:t xml:space="preserve">rogram można stosować na wszystkich typach tablic dotykowych oraz w salach komputerowych. </w:t>
            </w:r>
            <w:r w:rsidRPr="001558C9">
              <w:rPr>
                <w:rFonts w:ascii="Cambria" w:hAnsi="Cambria" w:cs="Times New Roman"/>
              </w:rPr>
              <w:t xml:space="preserve">Zakres licencji: BEZTERMINOWA LICENCJA na maks. 20 STANOWISK PC. </w:t>
            </w:r>
            <w:r w:rsidRPr="001558C9">
              <w:rPr>
                <w:rFonts w:ascii="Cambria" w:hAnsi="Cambria" w:cs="Times New Roman"/>
                <w:bCs/>
              </w:rPr>
              <w:t>Polska wersja językowa</w:t>
            </w:r>
            <w:r w:rsidRPr="001558C9">
              <w:rPr>
                <w:rFonts w:ascii="Cambria" w:hAnsi="Cambria" w:cs="Times New Roman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ECBF0" w14:textId="08722AB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26731" w14:textId="2EEF7B13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94B3" w14:textId="2BB8D00B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2EA772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56D6342C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E8D811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CDD2279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75918124" w14:textId="1A803402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DC53A" w14:textId="6FBC5C32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83E03" w14:textId="77777777" w:rsidR="00FB75CF" w:rsidRPr="001558C9" w:rsidRDefault="00FB75CF" w:rsidP="00FB75CF">
            <w:pPr>
              <w:pStyle w:val="Nagwek1"/>
              <w:spacing w:before="0" w:line="276" w:lineRule="auto"/>
              <w:jc w:val="center"/>
              <w:outlineLvl w:val="0"/>
              <w:rPr>
                <w:sz w:val="22"/>
                <w:szCs w:val="22"/>
              </w:rPr>
            </w:pPr>
            <w:r w:rsidRPr="001558C9">
              <w:rPr>
                <w:sz w:val="22"/>
                <w:szCs w:val="22"/>
              </w:rPr>
              <w:t xml:space="preserve">Program multimedialny dla klas 4-8 dysleksja, dysgrafia, dysortografia, </w:t>
            </w:r>
            <w:r w:rsidRPr="0053704D">
              <w:rPr>
                <w:sz w:val="22"/>
                <w:szCs w:val="22"/>
              </w:rPr>
              <w:t xml:space="preserve">dyskalkulia dla dzieci i młodzieży w </w:t>
            </w:r>
            <w:r w:rsidRPr="0053704D">
              <w:rPr>
                <w:sz w:val="22"/>
                <w:szCs w:val="22"/>
              </w:rPr>
              <w:lastRenderedPageBreak/>
              <w:t xml:space="preserve">wieku 10-15 lat </w:t>
            </w:r>
            <w:r w:rsidRPr="0053704D">
              <w:rPr>
                <w:kern w:val="0"/>
                <w:sz w:val="22"/>
                <w:szCs w:val="22"/>
              </w:rPr>
              <w:t xml:space="preserve">typu </w:t>
            </w:r>
            <w:proofErr w:type="spellStart"/>
            <w:r w:rsidRPr="0053704D">
              <w:rPr>
                <w:kern w:val="0"/>
                <w:sz w:val="22"/>
                <w:szCs w:val="22"/>
              </w:rPr>
              <w:t>Eduterapeutica</w:t>
            </w:r>
            <w:proofErr w:type="spellEnd"/>
            <w:r w:rsidRPr="0053704D">
              <w:rPr>
                <w:kern w:val="0"/>
                <w:sz w:val="22"/>
                <w:szCs w:val="22"/>
              </w:rPr>
              <w:t xml:space="preserve"> Specjalne Potrzeby Edukacyjne  lub równoważny</w:t>
            </w:r>
          </w:p>
          <w:p w14:paraId="3B431FD8" w14:textId="34514246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6FF25" w14:textId="77777777" w:rsidR="00FB75CF" w:rsidRPr="001558C9" w:rsidRDefault="00FB75CF" w:rsidP="00FB75CF">
            <w:pPr>
              <w:spacing w:line="276" w:lineRule="auto"/>
              <w:jc w:val="both"/>
              <w:rPr>
                <w:rFonts w:ascii="Cambria" w:eastAsia="Times New Roman" w:hAnsi="Cambria" w:cs="Times New Roman"/>
              </w:rPr>
            </w:pPr>
            <w:r w:rsidRPr="001558C9">
              <w:rPr>
                <w:rFonts w:ascii="Cambria" w:eastAsia="Times New Roman" w:hAnsi="Cambria" w:cs="Times New Roman"/>
              </w:rPr>
              <w:lastRenderedPageBreak/>
              <w:t>Program multimedialny skierowany do nauczycieli oraz pedagogów-psychologów do prowadzenia zajęć rewalidacyjnych i kompensacyjnych z uczniami w wieku 10-15 lat. Program dla uczniów klas 4 – 8 koncentruj</w:t>
            </w:r>
            <w:r>
              <w:rPr>
                <w:rFonts w:ascii="Cambria" w:eastAsia="Times New Roman" w:hAnsi="Cambria" w:cs="Times New Roman"/>
              </w:rPr>
              <w:t>ący</w:t>
            </w:r>
            <w:r w:rsidRPr="001558C9">
              <w:rPr>
                <w:rFonts w:ascii="Cambria" w:eastAsia="Times New Roman" w:hAnsi="Cambria" w:cs="Times New Roman"/>
              </w:rPr>
              <w:t xml:space="preserve"> się na czterech najpowszechniejszych zaburzeniach tj</w:t>
            </w:r>
            <w:r>
              <w:rPr>
                <w:rFonts w:ascii="Cambria" w:eastAsia="Times New Roman" w:hAnsi="Cambria" w:cs="Times New Roman"/>
              </w:rPr>
              <w:t>.</w:t>
            </w:r>
            <w:r w:rsidRPr="001558C9">
              <w:rPr>
                <w:rFonts w:ascii="Cambria" w:eastAsia="Times New Roman" w:hAnsi="Cambria" w:cs="Times New Roman"/>
              </w:rPr>
              <w:t>: Dysleksja (w wąskim rozumieniu) – trudności w czytaniu, Dysortografia – trudności z opanowaniem poprawnej pisowni, Dysgrafia – trudności z opanowaniem czytelnego graficznie pisania Dyskalkulia – trudność w rozumieniu</w:t>
            </w:r>
          </w:p>
          <w:p w14:paraId="419DFF7A" w14:textId="1BF735D7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>
              <w:rPr>
                <w:rFonts w:ascii="Cambria" w:eastAsia="Times New Roman" w:hAnsi="Cambria" w:cs="Times New Roman"/>
              </w:rPr>
              <w:t>Z</w:t>
            </w:r>
            <w:r w:rsidRPr="001558C9">
              <w:rPr>
                <w:rFonts w:ascii="Cambria" w:eastAsia="Times New Roman" w:hAnsi="Cambria" w:cs="Times New Roman"/>
              </w:rPr>
              <w:t xml:space="preserve">estaw </w:t>
            </w:r>
            <w:r>
              <w:rPr>
                <w:rFonts w:ascii="Cambria" w:eastAsia="Times New Roman" w:hAnsi="Cambria" w:cs="Times New Roman"/>
              </w:rPr>
              <w:t xml:space="preserve">powinien </w:t>
            </w:r>
            <w:r w:rsidRPr="001558C9">
              <w:rPr>
                <w:rFonts w:ascii="Cambria" w:eastAsia="Times New Roman" w:hAnsi="Cambria" w:cs="Times New Roman"/>
              </w:rPr>
              <w:t>zawiera</w:t>
            </w:r>
            <w:r>
              <w:rPr>
                <w:rFonts w:ascii="Cambria" w:eastAsia="Times New Roman" w:hAnsi="Cambria" w:cs="Times New Roman"/>
              </w:rPr>
              <w:t>ć</w:t>
            </w:r>
            <w:r w:rsidRPr="001558C9">
              <w:rPr>
                <w:rFonts w:ascii="Cambria" w:eastAsia="Times New Roman" w:hAnsi="Cambria" w:cs="Times New Roman"/>
              </w:rPr>
              <w:t xml:space="preserve">: blisko 500 ćwiczeń multimedialnych, które można komponować zależnie od zdiagnozowanych problemów ucznia, zestaw interaktywnych ćwiczeń, zabaw i gier edukacyjnych, nawiązujących do znanych gier komputerowych, min.420 wydrukowanych kart pracy dostępnych również w programie, kwestionariusze diagnostyczne i teksty </w:t>
            </w:r>
            <w:r w:rsidRPr="001558C9">
              <w:rPr>
                <w:rFonts w:ascii="Cambria" w:eastAsia="Times New Roman" w:hAnsi="Cambria" w:cs="Times New Roman"/>
              </w:rPr>
              <w:lastRenderedPageBreak/>
              <w:t xml:space="preserve">umiejętności z arkuszami odpowiedzi, poradnik metodyczny z instrukcją obsługi, poradnik dla rodziców, </w:t>
            </w:r>
            <w:r w:rsidRPr="001558C9">
              <w:rPr>
                <w:rFonts w:ascii="Cambria" w:hAnsi="Cambria"/>
              </w:rPr>
              <w:t>1 długopis 3D wraz z szablonami rysunków dla uczniów z problemami matematycznymi, które zmieniają je w przestrzenne obiekty.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EB4C0" w14:textId="28DD92C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lastRenderedPageBreak/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903E3" w14:textId="07A899C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0902" w14:textId="6C11FD8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E14F12F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740820A3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2179863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57DF1B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15AD4C38" w14:textId="1D16F95C" w:rsidTr="00484579">
        <w:trPr>
          <w:trHeight w:val="6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4462D" w14:textId="5532F2C4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lastRenderedPageBreak/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C987F" w14:textId="77777777" w:rsidR="00FB75CF" w:rsidRPr="001558C9" w:rsidRDefault="00FB75CF" w:rsidP="00FB75CF">
            <w:pPr>
              <w:spacing w:line="276" w:lineRule="auto"/>
              <w:jc w:val="center"/>
              <w:rPr>
                <w:rFonts w:ascii="Cambria" w:eastAsia="Times New Roman" w:hAnsi="Cambria" w:cs="Times New Roman"/>
              </w:rPr>
            </w:pPr>
            <w:r w:rsidRPr="001558C9">
              <w:rPr>
                <w:rFonts w:ascii="Cambria" w:hAnsi="Cambria" w:cs="Times New Roman"/>
              </w:rPr>
              <w:t xml:space="preserve">Robot edukacyjny  typu </w:t>
            </w:r>
            <w:proofErr w:type="spellStart"/>
            <w:r w:rsidRPr="001558C9">
              <w:rPr>
                <w:rFonts w:ascii="Cambria" w:hAnsi="Cambria" w:cs="Times New Roman"/>
              </w:rPr>
              <w:t>Photon</w:t>
            </w:r>
            <w:proofErr w:type="spellEnd"/>
            <w:r w:rsidRPr="001558C9">
              <w:rPr>
                <w:rFonts w:ascii="Cambria" w:hAnsi="Cambria" w:cs="Times New Roman"/>
              </w:rPr>
              <w:t xml:space="preserve"> Moduł Ekologia</w:t>
            </w:r>
            <w:r>
              <w:rPr>
                <w:rFonts w:ascii="Cambria" w:hAnsi="Cambria" w:cs="Times New Roman"/>
              </w:rPr>
              <w:t xml:space="preserve"> lub równoważny</w:t>
            </w:r>
          </w:p>
          <w:p w14:paraId="65167245" w14:textId="6A2011ED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42197" w14:textId="44E9B199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ascii="Cambria" w:eastAsia="Times New Roman" w:hAnsi="Cambria" w:cs="Times New Roman"/>
                <w:bCs/>
              </w:rPr>
              <w:t xml:space="preserve">Zestaw ma na celu kształtowanie w dzieciach i młodzieży postawy szacunku dla środowiska przyrodniczego oraz motywowanie do działań na rzecz ochrony środowiska. Obejmuje 10 scenariuszy zajęć przeznaczonych do pracy z uczniami w ramach lekcji lub form pozalekcyjnych. </w:t>
            </w:r>
            <w:r>
              <w:rPr>
                <w:rFonts w:ascii="Cambria" w:eastAsia="Times New Roman" w:hAnsi="Cambria" w:cs="Times New Roman"/>
                <w:bCs/>
              </w:rPr>
              <w:t>Z</w:t>
            </w:r>
            <w:r w:rsidRPr="001558C9">
              <w:rPr>
                <w:rFonts w:ascii="Cambria" w:eastAsia="Times New Roman" w:hAnsi="Cambria" w:cs="Times New Roman"/>
                <w:bCs/>
              </w:rPr>
              <w:t xml:space="preserve">awiera dwa roboty, niezbędne akcesoria i 10 scenariuszy przygotowanych w celu promowania edukacji ekologicznej wśród uczniów. </w:t>
            </w:r>
            <w:r w:rsidRPr="001558C9">
              <w:rPr>
                <w:rFonts w:ascii="Cambria" w:hAnsi="Cambria" w:cs="Times New Roman"/>
                <w:bCs/>
              </w:rPr>
              <w:t>Zestaw zawiera co najmniej:</w:t>
            </w:r>
            <w:r w:rsidRPr="001558C9">
              <w:rPr>
                <w:rFonts w:ascii="Cambria" w:hAnsi="Cambria" w:cs="Times New Roman"/>
              </w:rPr>
              <w:t xml:space="preserve"> robot typu </w:t>
            </w:r>
            <w:proofErr w:type="spellStart"/>
            <w:r w:rsidRPr="001558C9">
              <w:rPr>
                <w:rFonts w:ascii="Cambria" w:hAnsi="Cambria" w:cs="Times New Roman"/>
              </w:rPr>
              <w:t>Photon</w:t>
            </w:r>
            <w:proofErr w:type="spellEnd"/>
            <w:r>
              <w:rPr>
                <w:rFonts w:ascii="Cambria" w:hAnsi="Cambria" w:cs="Times New Roman"/>
              </w:rPr>
              <w:t xml:space="preserve"> lub równoważny -</w:t>
            </w:r>
            <w:r w:rsidRPr="001558C9">
              <w:rPr>
                <w:rFonts w:ascii="Cambria" w:hAnsi="Cambria" w:cs="Times New Roman"/>
              </w:rPr>
              <w:t xml:space="preserve"> min 2 </w:t>
            </w: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  <w:r w:rsidRPr="001558C9">
              <w:rPr>
                <w:rFonts w:ascii="Cambria" w:hAnsi="Cambria" w:cs="Times New Roman"/>
              </w:rPr>
              <w:t>,  </w:t>
            </w:r>
            <w:r>
              <w:rPr>
                <w:rFonts w:ascii="Cambria" w:hAnsi="Cambria" w:cs="Times New Roman"/>
              </w:rPr>
              <w:t xml:space="preserve">urządzenie umożliwiające integrację robota z innymi urządzeniami (komputer, tablica interaktywna) typu </w:t>
            </w:r>
            <w:proofErr w:type="spellStart"/>
            <w:r w:rsidRPr="001558C9">
              <w:rPr>
                <w:rFonts w:ascii="Cambria" w:hAnsi="Cambria" w:cs="Times New Roman"/>
              </w:rPr>
              <w:t>Photon</w:t>
            </w:r>
            <w:proofErr w:type="spellEnd"/>
            <w:r w:rsidRPr="001558C9">
              <w:rPr>
                <w:rFonts w:ascii="Cambria" w:hAnsi="Cambria" w:cs="Times New Roman"/>
              </w:rPr>
              <w:t xml:space="preserve"> Magic </w:t>
            </w:r>
            <w:proofErr w:type="spellStart"/>
            <w:r w:rsidRPr="001558C9">
              <w:rPr>
                <w:rFonts w:ascii="Cambria" w:hAnsi="Cambria" w:cs="Times New Roman"/>
              </w:rPr>
              <w:t>Dongle</w:t>
            </w:r>
            <w:proofErr w:type="spellEnd"/>
            <w:r w:rsidRPr="001558C9">
              <w:rPr>
                <w:rFonts w:ascii="Cambria" w:hAnsi="Cambria" w:cs="Times New Roman"/>
              </w:rPr>
              <w:t xml:space="preserve"> (2 szt.), Mata </w:t>
            </w:r>
            <w:proofErr w:type="spellStart"/>
            <w:r w:rsidRPr="001558C9">
              <w:rPr>
                <w:rFonts w:ascii="Cambria" w:hAnsi="Cambria" w:cs="Times New Roman"/>
              </w:rPr>
              <w:t>Suchościeralna</w:t>
            </w:r>
            <w:proofErr w:type="spellEnd"/>
            <w:r>
              <w:rPr>
                <w:rFonts w:ascii="Cambria" w:hAnsi="Cambria" w:cs="Times New Roman"/>
              </w:rPr>
              <w:t xml:space="preserve"> typu </w:t>
            </w:r>
            <w:proofErr w:type="spellStart"/>
            <w:r>
              <w:rPr>
                <w:rFonts w:ascii="Cambria" w:hAnsi="Cambria" w:cs="Times New Roman"/>
              </w:rPr>
              <w:t>Photon</w:t>
            </w:r>
            <w:proofErr w:type="spellEnd"/>
            <w:r>
              <w:rPr>
                <w:rFonts w:ascii="Cambria" w:hAnsi="Cambria" w:cs="Times New Roman"/>
              </w:rPr>
              <w:t xml:space="preserve"> lub równoważna</w:t>
            </w:r>
            <w:r w:rsidRPr="001558C9">
              <w:rPr>
                <w:rFonts w:ascii="Cambria" w:hAnsi="Cambria" w:cs="Times New Roman"/>
              </w:rPr>
              <w:t xml:space="preserve">, 10 scenariuszy, Uchwyt na mazak,  Mazak min. 3 szt.,    Zestaw pionków i kostek do gry (1 </w:t>
            </w:r>
            <w:proofErr w:type="spellStart"/>
            <w:r w:rsidRPr="001558C9">
              <w:rPr>
                <w:rFonts w:ascii="Cambria" w:hAnsi="Cambria" w:cs="Times New Roman"/>
              </w:rPr>
              <w:t>kpl</w:t>
            </w:r>
            <w:proofErr w:type="spellEnd"/>
            <w:r w:rsidRPr="001558C9">
              <w:rPr>
                <w:rFonts w:ascii="Cambria" w:hAnsi="Cambria" w:cs="Times New Roman"/>
              </w:rPr>
              <w:t xml:space="preserve">.), Zestaw kolorowych karteczek (1 </w:t>
            </w:r>
            <w:proofErr w:type="spellStart"/>
            <w:r w:rsidRPr="001558C9">
              <w:rPr>
                <w:rFonts w:ascii="Cambria" w:hAnsi="Cambria" w:cs="Times New Roman"/>
              </w:rPr>
              <w:t>kpl</w:t>
            </w:r>
            <w:proofErr w:type="spellEnd"/>
            <w:r w:rsidRPr="001558C9">
              <w:rPr>
                <w:rFonts w:ascii="Cambria" w:hAnsi="Cambria" w:cs="Times New Roman"/>
              </w:rPr>
              <w:t>.)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97B71" w14:textId="76C6FC50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172DE" w14:textId="53BC4D02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A02B" w14:textId="0938F5F9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AAB1824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0A80AD4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43E0631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568FD24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42B36152" w14:textId="77C402D3" w:rsidTr="00484579">
        <w:trPr>
          <w:trHeight w:val="694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1B579" w14:textId="485E81CE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AABDEED" w14:textId="77777777" w:rsidR="00FB75CF" w:rsidRPr="001558C9" w:rsidRDefault="00FB75CF" w:rsidP="00FB75CF">
            <w:pPr>
              <w:spacing w:line="276" w:lineRule="auto"/>
              <w:jc w:val="center"/>
              <w:rPr>
                <w:rFonts w:ascii="Cambria" w:eastAsia="Times New Roman" w:hAnsi="Cambria" w:cs="Times New Roman"/>
              </w:rPr>
            </w:pPr>
            <w:r w:rsidRPr="001558C9">
              <w:rPr>
                <w:rFonts w:ascii="Cambria" w:hAnsi="Cambria" w:cs="Times New Roman"/>
              </w:rPr>
              <w:t xml:space="preserve">Pomoc multimedialna </w:t>
            </w:r>
            <w:r>
              <w:rPr>
                <w:rFonts w:ascii="Cambria" w:hAnsi="Cambria" w:cs="Times New Roman"/>
              </w:rPr>
              <w:t xml:space="preserve">typu </w:t>
            </w:r>
            <w:r w:rsidRPr="001558C9">
              <w:rPr>
                <w:rFonts w:ascii="Cambria" w:hAnsi="Cambria" w:cs="Times New Roman"/>
              </w:rPr>
              <w:t>Pakiet Ratujmy Planetę! do Magicznego Dywanu 4.0</w:t>
            </w:r>
          </w:p>
          <w:p w14:paraId="646E31F7" w14:textId="79E32914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CEA58A5" w14:textId="1BA7CB0F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/>
              </w:rPr>
              <w:t>Z</w:t>
            </w:r>
            <w:r w:rsidRPr="001558C9">
              <w:rPr>
                <w:rFonts w:ascii="Cambria" w:hAnsi="Cambria"/>
              </w:rPr>
              <w:t>estaw nowoczesnych i innowacyjnych gier uczących aktywnego uczestniczenia w działaniach proekologicznych. Kompatybilny tylko i wyłącznie z podłogą interaktywną Magiczny Dywan. Zestaw zawiera min  4 gry: Bitwa morska, Ratujmy zwierzęta, Rwąca rzeka, Użyj to jeszcze raz.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AF99" w14:textId="33642B91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Pakiet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84B96" w14:textId="76FC8F70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C84" w14:textId="69410CB9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1964A26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1CA5AE3E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458C803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35AD540F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4E9927E3" w14:textId="557EA395" w:rsidTr="00484579">
        <w:trPr>
          <w:trHeight w:val="42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9578F" w14:textId="73DF896B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lastRenderedPageBreak/>
              <w:t>14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CC49A" w14:textId="72D7F3D9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 xml:space="preserve">Program multimedialny </w:t>
            </w:r>
            <w:r>
              <w:rPr>
                <w:rFonts w:cs="Times New Roman"/>
              </w:rPr>
              <w:t xml:space="preserve">typy </w:t>
            </w:r>
            <w:r w:rsidRPr="001558C9">
              <w:rPr>
                <w:rFonts w:cs="Times New Roman"/>
              </w:rPr>
              <w:t>Zajęcia logopedyczne 1 i 2 Pakiet Ekspert</w:t>
            </w:r>
            <w:r>
              <w:rPr>
                <w:rFonts w:cs="Times New Roman"/>
              </w:rPr>
              <w:t xml:space="preserve"> lub 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10A4" w14:textId="238C641E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</w:rPr>
              <w:t>P</w:t>
            </w:r>
            <w:r w:rsidRPr="001558C9">
              <w:rPr>
                <w:rFonts w:ascii="Cambria" w:hAnsi="Cambria"/>
              </w:rPr>
              <w:t xml:space="preserve">rogramów multimedialnych dla dzieci z wadami wymowy i innymi zaburzeniami sprawności językowej. Wspiera terapię najczęściej zaburzonych głosek w języku polskim, a także trenuje dźwięczność i słuch fonemowy. Pakiet obejmuje: min. 21 programów logopedycznych., ok 3700 ekranów z ćwiczeniami angażujących i efektywnych, ponad 760 kart pracy do wydruku, idealnych do pracy poza komputerem. Licencja bezterminowa na 4 stanowiska 2 online + 2 </w:t>
            </w:r>
            <w:proofErr w:type="spellStart"/>
            <w:r w:rsidRPr="001558C9">
              <w:rPr>
                <w:rFonts w:ascii="Cambria" w:hAnsi="Cambria"/>
              </w:rPr>
              <w:t>offline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D37F2" w14:textId="2DE54839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82CFB" w14:textId="234926ED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92DD" w14:textId="7F92090B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BC43D80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5AB0AE7C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0F9CC5D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765666B0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5031EDFB" w14:textId="6BAE6CCA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C161D" w14:textId="2A3198DF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DEBA0" w14:textId="34A3BAAF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>Program multimedialny poznajemy głoski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257A" w14:textId="412D779A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ascii="Cambria" w:hAnsi="Cambria"/>
              </w:rPr>
              <w:t>Program multimedialny na zajęcia logopedyczne zabawy z głoskami,  multimedialne narzędzie dydaktyczne stanowi wsparcie dla dzieci w codziennych ćwiczeniach mających na celu poprawę artykulacji. Zestaw zawiera co najmniej 136 zadań, obejmujących 13 różnych głosek, takich jak ś/si, ć/ci, ź/</w:t>
            </w:r>
            <w:proofErr w:type="spellStart"/>
            <w:r w:rsidRPr="001558C9">
              <w:rPr>
                <w:rFonts w:ascii="Cambria" w:hAnsi="Cambria"/>
              </w:rPr>
              <w:t>zi</w:t>
            </w:r>
            <w:proofErr w:type="spellEnd"/>
            <w:r w:rsidRPr="001558C9">
              <w:rPr>
                <w:rFonts w:ascii="Cambria" w:hAnsi="Cambria"/>
              </w:rPr>
              <w:t xml:space="preserve">, </w:t>
            </w:r>
            <w:proofErr w:type="spellStart"/>
            <w:r w:rsidRPr="001558C9">
              <w:rPr>
                <w:rFonts w:ascii="Cambria" w:hAnsi="Cambria"/>
              </w:rPr>
              <w:t>dź</w:t>
            </w:r>
            <w:proofErr w:type="spellEnd"/>
            <w:r w:rsidRPr="001558C9">
              <w:rPr>
                <w:rFonts w:ascii="Cambria" w:hAnsi="Cambria"/>
              </w:rPr>
              <w:t>/</w:t>
            </w:r>
            <w:proofErr w:type="spellStart"/>
            <w:r w:rsidRPr="001558C9">
              <w:rPr>
                <w:rFonts w:ascii="Cambria" w:hAnsi="Cambria"/>
              </w:rPr>
              <w:t>dzi</w:t>
            </w:r>
            <w:proofErr w:type="spellEnd"/>
            <w:r w:rsidRPr="001558C9">
              <w:rPr>
                <w:rFonts w:ascii="Cambria" w:hAnsi="Cambria"/>
              </w:rPr>
              <w:t xml:space="preserve">, s, z, c, </w:t>
            </w:r>
            <w:proofErr w:type="spellStart"/>
            <w:r w:rsidRPr="001558C9">
              <w:rPr>
                <w:rFonts w:ascii="Cambria" w:hAnsi="Cambria"/>
              </w:rPr>
              <w:t>dz</w:t>
            </w:r>
            <w:proofErr w:type="spellEnd"/>
            <w:r w:rsidRPr="001558C9">
              <w:rPr>
                <w:rFonts w:ascii="Cambria" w:hAnsi="Cambria"/>
              </w:rPr>
              <w:t xml:space="preserve">, </w:t>
            </w:r>
            <w:proofErr w:type="spellStart"/>
            <w:r w:rsidRPr="001558C9">
              <w:rPr>
                <w:rFonts w:ascii="Cambria" w:hAnsi="Cambria"/>
              </w:rPr>
              <w:t>sz</w:t>
            </w:r>
            <w:proofErr w:type="spellEnd"/>
            <w:r w:rsidRPr="001558C9">
              <w:rPr>
                <w:rFonts w:ascii="Cambria" w:hAnsi="Cambria"/>
              </w:rPr>
              <w:t>, ż/</w:t>
            </w:r>
            <w:proofErr w:type="spellStart"/>
            <w:r w:rsidRPr="001558C9">
              <w:rPr>
                <w:rFonts w:ascii="Cambria" w:hAnsi="Cambria"/>
              </w:rPr>
              <w:t>rz</w:t>
            </w:r>
            <w:proofErr w:type="spellEnd"/>
            <w:r w:rsidRPr="001558C9">
              <w:rPr>
                <w:rFonts w:ascii="Cambria" w:hAnsi="Cambria"/>
              </w:rPr>
              <w:t xml:space="preserve">, </w:t>
            </w:r>
            <w:proofErr w:type="spellStart"/>
            <w:r w:rsidRPr="001558C9">
              <w:rPr>
                <w:rFonts w:ascii="Cambria" w:hAnsi="Cambria"/>
              </w:rPr>
              <w:t>cz</w:t>
            </w:r>
            <w:proofErr w:type="spellEnd"/>
            <w:r w:rsidRPr="001558C9">
              <w:rPr>
                <w:rFonts w:ascii="Cambria" w:hAnsi="Cambria"/>
              </w:rPr>
              <w:t xml:space="preserve">, </w:t>
            </w:r>
            <w:proofErr w:type="spellStart"/>
            <w:r w:rsidRPr="001558C9">
              <w:rPr>
                <w:rFonts w:ascii="Cambria" w:hAnsi="Cambria"/>
              </w:rPr>
              <w:t>dż</w:t>
            </w:r>
            <w:proofErr w:type="spellEnd"/>
            <w:r w:rsidRPr="001558C9">
              <w:rPr>
                <w:rFonts w:ascii="Cambria" w:hAnsi="Cambria"/>
              </w:rPr>
              <w:t xml:space="preserve"> i r. Dzięki interaktywnym ćwiczeniom dzieci uczą się poprawnej artykulacji w formie zabawy, co znacząco zwiększa ich motywację i zaangażowanie. Indywidualne podejście do każdego dziecka Program daje możliwość dopasowania poziomu trudności do możliwości dziecka, zapewniając naukę w tempie, które jest dla niego komfortowe i skuteczne. Kompleksowa terapia aż 13 trudnych głosek Zawiera ok. 136 atrakcyjnych ćwiczeń. licencja bezterminowa na 3 stanowiska.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88B38" w14:textId="51472BF6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1AB46" w14:textId="4DE56150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84A9" w14:textId="2071E428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88262D9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19A32D0B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24FA16F6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1D906F28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FB75CF" w:rsidRPr="00496443" w14:paraId="74767D66" w14:textId="4905090E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A4EE" w14:textId="524BB46B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DEFC5" w14:textId="05786208" w:rsidR="00FB75CF" w:rsidRPr="005F7670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>Pakiet gier rehabilitacyjnych typu Krok po kroku do magicznego dywanu 4.0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3C6" w14:textId="48A6C739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1558C9">
              <w:rPr>
                <w:rFonts w:ascii="Cambria" w:hAnsi="Cambria"/>
              </w:rPr>
              <w:t>Pomoc multimedialna - Pakiet gier rehabilitacyjnych typu „Krok o kroku” zawiera  min. 15 gier edukacyjnych dla dzieci i dorosłych, zaprojektowanych do wspierania rozwoju motoryki dużej, koordynacji, równowagi i prawidłowego chodu. Rozszerzający pakiet do Magicznego dywanu 4.0. Pakiet rozwija i kształtuje: ogólną sprawność fizyczną,  koordynację wzrokowo-ruchową, równowagę, skoczność, zwinność i gibkość, aparat więzadłowy stóp, mięśnie tułowia oraz kończyn górnych,  umiejętność kontroli tułowia, stabilizację mięśnie tułowia oraz obręczy barkowej, w połączeniu ze sprzętem stawiającym opór i obciążeniem może wzmacniać kończyny górne lub dolne ćwiczącego.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C7714" w14:textId="4334E430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12449" w14:textId="5707C209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059F" w14:textId="4C4AA16E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24C52D1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3BD749A8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6CCB9EC4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6139286A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FB75CF" w:rsidRPr="00496443" w14:paraId="6C5059A6" w14:textId="77777777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26FC6" w14:textId="3AC6BE82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0696" w14:textId="57C0E0FB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 xml:space="preserve">Pakiet typu Magia ruchu do </w:t>
            </w:r>
            <w:r w:rsidRPr="001558C9">
              <w:rPr>
                <w:rFonts w:cs="Times New Roman"/>
              </w:rPr>
              <w:lastRenderedPageBreak/>
              <w:t>Magicznego Dywanu 4.0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3F8E" w14:textId="684F76A8" w:rsidR="00FB75CF" w:rsidRPr="00496443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ascii="Cambria" w:hAnsi="Cambria"/>
              </w:rPr>
              <w:lastRenderedPageBreak/>
              <w:t xml:space="preserve">Pomoc multimedialna na zajęcia edukacyjne i rehabilitacyjne. Pakiet typu Magia Ruchu to kompleksowy pakiet gier do Magicznego Dywanu 4.0 i </w:t>
            </w:r>
            <w:proofErr w:type="spellStart"/>
            <w:r w:rsidRPr="001558C9">
              <w:rPr>
                <w:rFonts w:ascii="Cambria" w:hAnsi="Cambria"/>
              </w:rPr>
              <w:t>Kinebi</w:t>
            </w:r>
            <w:proofErr w:type="spellEnd"/>
            <w:r w:rsidRPr="001558C9">
              <w:rPr>
                <w:rFonts w:ascii="Cambria" w:hAnsi="Cambria"/>
              </w:rPr>
              <w:t xml:space="preserve"> 5.0 wspierający rozwój psychoruchowy dzieci z deficytami. Dzięki </w:t>
            </w:r>
            <w:r w:rsidRPr="001558C9">
              <w:rPr>
                <w:rFonts w:ascii="Cambria" w:hAnsi="Cambria"/>
              </w:rPr>
              <w:lastRenderedPageBreak/>
              <w:t xml:space="preserve">różnorodnym aktywnościom motorycznym i sensorycznym, gry pomagają w terapii, edukacji i rewalidacji, rozwijając koncentrację, koordynację oraz poczucie sprawczości. Seria gier koryguje, stymuluje zaburzone percepcje, usprawnia motorycznie, wprowadza </w:t>
            </w:r>
            <w:proofErr w:type="spellStart"/>
            <w:r w:rsidRPr="001558C9">
              <w:rPr>
                <w:rFonts w:ascii="Cambria" w:hAnsi="Cambria"/>
              </w:rPr>
              <w:t>somatognozję</w:t>
            </w:r>
            <w:proofErr w:type="spellEnd"/>
            <w:r w:rsidRPr="001558C9">
              <w:rPr>
                <w:rFonts w:ascii="Cambria" w:hAnsi="Cambria"/>
              </w:rPr>
              <w:t xml:space="preserve"> (orientację w schemacie ciała) i orientację w przestrzeni, daje szansę na regulację emocji i uczy sposobów ich wyrażania. Rozszerzający pakiet do Magicznego dywanu 4.0.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C20C0" w14:textId="3AAB6AEC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lastRenderedPageBreak/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12A61" w14:textId="557B672A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DA20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323E673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234CA80A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4ED74E71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34E9117B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FB75CF" w:rsidRPr="00496443" w14:paraId="32C424CC" w14:textId="68D04B8A" w:rsidTr="00484579">
        <w:trPr>
          <w:trHeight w:val="42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5ADB1" w14:textId="4D4673F0" w:rsidR="00FB75CF" w:rsidRPr="00496443" w:rsidRDefault="00FB75CF" w:rsidP="00FB75CF">
            <w:pPr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lastRenderedPageBreak/>
              <w:t>18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B887B" w14:textId="5974EC22" w:rsidR="00FB75CF" w:rsidRPr="007A44E0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cs="Times New Roman"/>
              </w:rPr>
              <w:t>Zestaw multimedialnych ćwiczeń dla uczniów posługujących się językiem polskim lub uczących się języka polskiego jako obcego typu Czytanie ze zrozumieniem,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7FB0" w14:textId="401DC1FD" w:rsidR="00FB75CF" w:rsidRPr="007A44E0" w:rsidRDefault="00FB75CF" w:rsidP="00FB75C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1558C9">
              <w:rPr>
                <w:rFonts w:ascii="Cambria" w:hAnsi="Cambria"/>
              </w:rPr>
              <w:t>Pomoc multimedialna na zajęcia z jęz. polskiego Czytanie ze zrozumieniem, Kompleksowy program wspierający rozwój umiejętności czytania ze zrozumieniem w języku polskim dla uczniów 7+, 11+ i 14+. Oferuje ponad 1000 interaktywnych ekranów, bazę kart pracy, specjalnie przygotowane teksty dostosowane do różnych poziomów trudności, interaktywne ćwiczenia oraz wsparcie dla nauczycieli i terapeutów. Program ten rozwija umiejętności czytelnicze poprzez zróżnicowane treści, interaktywne narzędzia oraz specjalnie dobrane teksty literackie i użytkowe.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F7AD3" w14:textId="50861887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7BC1B" w14:textId="02FA6B72" w:rsidR="00FB75CF" w:rsidRPr="00496443" w:rsidRDefault="00FB75CF" w:rsidP="00FB75CF">
            <w:pPr>
              <w:jc w:val="center"/>
              <w:rPr>
                <w:rFonts w:ascii="Cambria" w:hAnsi="Cambria" w:cs="Arial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2E47" w14:textId="661FDD10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BC6809F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26" w:type="pct"/>
            <w:vAlign w:val="center"/>
          </w:tcPr>
          <w:p w14:paraId="00B01D1C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3" w:type="pct"/>
            <w:vAlign w:val="center"/>
          </w:tcPr>
          <w:p w14:paraId="6459A186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277" w:type="pct"/>
            <w:vAlign w:val="center"/>
          </w:tcPr>
          <w:p w14:paraId="19EECF97" w14:textId="77777777" w:rsidR="00FB75CF" w:rsidRPr="00496443" w:rsidRDefault="00FB75CF" w:rsidP="00FB75CF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FB75CF" w:rsidRPr="00496443" w14:paraId="58D812AE" w14:textId="77777777" w:rsidTr="00484579">
        <w:trPr>
          <w:trHeight w:val="28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77283" w14:textId="77E93163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19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102E1" w14:textId="6E111EB5" w:rsidR="00FB75CF" w:rsidRPr="003C5218" w:rsidRDefault="00FB75CF" w:rsidP="00FB75C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>Program multimedialny typu Potrafię. obszar polonistyczny klasy 4-6</w:t>
            </w:r>
            <w:r>
              <w:rPr>
                <w:rFonts w:cs="Times New Roman"/>
              </w:rPr>
              <w:t xml:space="preserve"> lub równoważny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82BCE" w14:textId="59D66923" w:rsidR="00FB75CF" w:rsidRPr="003C5218" w:rsidRDefault="00FB75CF" w:rsidP="00FB75C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  <w:r w:rsidRPr="00B01135">
              <w:rPr>
                <w:rFonts w:ascii="Cambria" w:hAnsi="Cambria"/>
                <w:bCs/>
              </w:rPr>
              <w:t>Pomoc multimedialna do wykorzystania podczas zajęć wyrównawczych, korekcyjno-kompensacyjnych i</w:t>
            </w:r>
            <w:r>
              <w:rPr>
                <w:rFonts w:ascii="Cambria" w:hAnsi="Cambria"/>
                <w:bCs/>
              </w:rPr>
              <w:t xml:space="preserve"> </w:t>
            </w:r>
            <w:r w:rsidRPr="00B01135">
              <w:rPr>
                <w:rFonts w:ascii="Cambria" w:hAnsi="Cambria"/>
                <w:bCs/>
              </w:rPr>
              <w:t>rewalidacyjnych z obszaru edukacji polonistycznej dla uczniów klas 4-6</w:t>
            </w:r>
            <w:r w:rsidRPr="00B01135">
              <w:rPr>
                <w:rStyle w:val="Pogrubienie"/>
                <w:rFonts w:ascii="Cambria" w:hAnsi="Cambria"/>
                <w:bCs w:val="0"/>
              </w:rPr>
              <w:t xml:space="preserve">, </w:t>
            </w:r>
            <w:r w:rsidRPr="00B01135">
              <w:rPr>
                <w:rFonts w:ascii="Cambria" w:hAnsi="Cambria"/>
                <w:bCs/>
              </w:rPr>
              <w:t xml:space="preserve">bezterminowa licencja. 3 stanowiska online i 6 </w:t>
            </w:r>
            <w:proofErr w:type="spellStart"/>
            <w:r w:rsidRPr="00B01135">
              <w:rPr>
                <w:rFonts w:ascii="Cambria" w:hAnsi="Cambria"/>
                <w:bCs/>
              </w:rPr>
              <w:t>offline</w:t>
            </w:r>
            <w:proofErr w:type="spellEnd"/>
            <w:r w:rsidRPr="00B01135">
              <w:rPr>
                <w:rFonts w:ascii="Cambria" w:hAnsi="Cambria"/>
                <w:bCs/>
              </w:rPr>
              <w:t xml:space="preserve">. Interaktywny program z ćwiczeniami treści literackich, gramatyki, ortografii i interpunkcji, materiał do wykorzystania na zajęciach wyrównawczych, korekcyjno-kompensacyjnych, rewalidacyjnych, ok 600 ekranów interaktywnych, pomoce dodatkowe (np. przewodnik metodyczny, karty pracy do wydruku). Program przeznaczony jest do pracy przy użyciu komputera, tabletu, </w:t>
            </w:r>
            <w:proofErr w:type="spellStart"/>
            <w:r w:rsidRPr="00B01135">
              <w:rPr>
                <w:rFonts w:ascii="Cambria" w:hAnsi="Cambria"/>
                <w:bCs/>
              </w:rPr>
              <w:t>smartfona</w:t>
            </w:r>
            <w:proofErr w:type="spellEnd"/>
            <w:r w:rsidRPr="00B01135">
              <w:rPr>
                <w:rFonts w:ascii="Cambria" w:hAnsi="Cambria"/>
                <w:bCs/>
              </w:rPr>
              <w:t xml:space="preserve"> oraz tablicy lub monitora interaktywnego (na systemach Windows, Android oraz </w:t>
            </w:r>
            <w:proofErr w:type="spellStart"/>
            <w:r w:rsidRPr="00B01135">
              <w:rPr>
                <w:rFonts w:ascii="Cambria" w:hAnsi="Cambria"/>
                <w:bCs/>
              </w:rPr>
              <w:t>iOS</w:t>
            </w:r>
            <w:proofErr w:type="spellEnd"/>
            <w:r w:rsidRPr="00B01135">
              <w:rPr>
                <w:rFonts w:ascii="Cambria" w:hAnsi="Cambria"/>
                <w:bCs/>
              </w:rPr>
              <w:t>).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57545" w14:textId="4E80C6F8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0C697" w14:textId="59F17A28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3F43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63AADDA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42C6D1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76216F2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9172AF8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03C1AA03" w14:textId="7777777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18BF4" w14:textId="0CBB8581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lastRenderedPageBreak/>
              <w:t>20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772FB4F" w14:textId="2A325EBA" w:rsidR="00FB75CF" w:rsidRPr="00496443" w:rsidRDefault="00FB75CF" w:rsidP="00FB75CF">
            <w:pPr>
              <w:jc w:val="both"/>
              <w:rPr>
                <w:rFonts w:ascii="Cambria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>Program multimedialny typu Ortografia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12006A7" w14:textId="745B92D4" w:rsidR="00FB75CF" w:rsidRPr="00496443" w:rsidRDefault="00FB75CF" w:rsidP="00FB75CF">
            <w:pPr>
              <w:jc w:val="both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/>
              </w:rPr>
              <w:t>Program multimedialny kształcący świadomość ortograficzną i poprawną pisownię.</w:t>
            </w:r>
            <w:r w:rsidRPr="001558C9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 </w:t>
            </w:r>
            <w:r w:rsidRPr="001558C9">
              <w:rPr>
                <w:rFonts w:ascii="Cambria" w:hAnsi="Cambria"/>
              </w:rPr>
              <w:t xml:space="preserve">Do wykorzystania na zajęciach korekcyjno-kompensacyjnych lub dydaktyczno-wyrównawczych, a także na lekcjach mających na celu kształtowanie świadomości ortograficznej i poprawnej pisowni. Blisko 1200 ekranów interaktywnych, więcej niż 200 kart pracy, przewodnik metodyczny oraz zestaw materiałów dodatkowych. Bezpłatne szkolenie zakończone wystawieniem certyfikatu.  Bezterminowa licencja. 3 stanowiska online i 6 </w:t>
            </w:r>
            <w:proofErr w:type="spellStart"/>
            <w:r w:rsidRPr="001558C9">
              <w:rPr>
                <w:rFonts w:ascii="Cambria" w:hAnsi="Cambria"/>
              </w:rPr>
              <w:t>offline</w:t>
            </w:r>
            <w:proofErr w:type="spellEnd"/>
            <w:r w:rsidRPr="001558C9">
              <w:rPr>
                <w:rFonts w:ascii="Cambria" w:hAnsi="Cambria"/>
              </w:rPr>
              <w:t>. Bezpłatne aktualizacje programu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BFF60" w14:textId="7FE83B78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0BD06" w14:textId="7562DC8B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5D07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1BCDCB2F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0F88472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18FDD000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C214785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B75CF" w:rsidRPr="00496443" w14:paraId="549A2794" w14:textId="77777777" w:rsidTr="00484579">
        <w:trPr>
          <w:trHeight w:val="4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3EFC2" w14:textId="7E0C6C69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3D02EC">
              <w:rPr>
                <w:rFonts w:ascii="Cambria" w:hAnsi="Cambria" w:cs="Times New Roman"/>
              </w:rPr>
              <w:t>21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2731C7EF" w14:textId="43B5AA39" w:rsidR="00FB75CF" w:rsidRPr="00496443" w:rsidRDefault="00FB75CF" w:rsidP="00FB75CF">
            <w:pPr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1558C9">
              <w:rPr>
                <w:rFonts w:cs="Times New Roman"/>
              </w:rPr>
              <w:t>Monitor interaktywny  Przekątna obrazu 65 cali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F2E0026" w14:textId="77777777" w:rsidR="00FB75CF" w:rsidRDefault="00FB75CF" w:rsidP="00FB75C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558C9">
              <w:rPr>
                <w:rFonts w:ascii="Cambria" w:hAnsi="Cambria" w:cs="Times New Roman"/>
              </w:rPr>
              <w:t>Monitor interaktywny będzie używany na zajęciach edukacyjnych. Przekątna obrazu 65 cali, Android 8, Rozdzielczość 4K Ultra HD 60Hz, żywotność panelu: 50</w:t>
            </w:r>
            <w:r>
              <w:rPr>
                <w:rFonts w:ascii="Cambria" w:hAnsi="Cambria" w:cs="Times New Roman"/>
              </w:rPr>
              <w:t> </w:t>
            </w:r>
            <w:r w:rsidRPr="001558C9">
              <w:rPr>
                <w:rFonts w:ascii="Cambria" w:hAnsi="Cambria" w:cs="Times New Roman"/>
              </w:rPr>
              <w:t>000</w:t>
            </w:r>
          </w:p>
          <w:p w14:paraId="62C88E7D" w14:textId="77777777" w:rsidR="00FB75CF" w:rsidRPr="00BE65C3" w:rsidRDefault="00FB75CF" w:rsidP="00FB75C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BE65C3">
              <w:rPr>
                <w:rFonts w:ascii="Cambria" w:hAnsi="Cambria" w:cs="Times New Roman"/>
              </w:rPr>
              <w:t>W zestawie z monitorem zestaw do jego montażu oraz okablowanie niezbędne do jego działania.</w:t>
            </w:r>
          </w:p>
          <w:p w14:paraId="323321E6" w14:textId="430F45B3" w:rsidR="00FB75CF" w:rsidRPr="00496443" w:rsidRDefault="00FB75CF" w:rsidP="00FB75CF">
            <w:pPr>
              <w:jc w:val="both"/>
              <w:rPr>
                <w:rFonts w:ascii="Cambria" w:eastAsia="Times New Roman" w:hAnsi="Cambria" w:cs="Arial"/>
              </w:rPr>
            </w:pPr>
            <w:r>
              <w:rPr>
                <w:rFonts w:ascii="Cambria" w:hAnsi="Cambria" w:cs="Times New Roman"/>
                <w:b/>
                <w:bCs/>
              </w:rPr>
              <w:t>Montaż/i</w:t>
            </w:r>
            <w:r w:rsidRPr="00ED5C30">
              <w:rPr>
                <w:rFonts w:ascii="Cambria" w:hAnsi="Cambria" w:cs="Times New Roman"/>
                <w:b/>
                <w:bCs/>
              </w:rPr>
              <w:t xml:space="preserve">nstalacja </w:t>
            </w:r>
            <w:r>
              <w:rPr>
                <w:rFonts w:ascii="Cambria" w:hAnsi="Cambria" w:cs="Times New Roman"/>
                <w:b/>
                <w:bCs/>
              </w:rPr>
              <w:t xml:space="preserve">przez Wykonawcę </w:t>
            </w:r>
            <w:r w:rsidRPr="00ED5C30">
              <w:rPr>
                <w:rFonts w:ascii="Cambria" w:hAnsi="Cambria" w:cs="Times New Roman"/>
                <w:b/>
                <w:bCs/>
              </w:rPr>
              <w:t>w miejscu, wskazanym przez Zamawiającego</w:t>
            </w:r>
            <w:r>
              <w:rPr>
                <w:rFonts w:ascii="Cambria" w:hAnsi="Cambria" w:cs="Times New Roman"/>
                <w:b/>
                <w:bCs/>
              </w:rPr>
              <w:t xml:space="preserve">. </w:t>
            </w:r>
            <w:r w:rsidRPr="00BE65C3">
              <w:rPr>
                <w:rFonts w:ascii="Cambria" w:hAnsi="Cambria" w:cs="Times New Roman"/>
              </w:rPr>
              <w:t>Wykonawca</w:t>
            </w:r>
            <w:r>
              <w:rPr>
                <w:rFonts w:ascii="Cambria" w:hAnsi="Cambria" w:cs="Times New Roman"/>
                <w:b/>
                <w:bCs/>
              </w:rPr>
              <w:t xml:space="preserve"> </w:t>
            </w:r>
            <w:r w:rsidRPr="001558C9">
              <w:rPr>
                <w:rFonts w:ascii="Cambria" w:hAnsi="Cambria" w:cs="Times New Roman"/>
              </w:rPr>
              <w:t>przeszkol</w:t>
            </w:r>
            <w:r>
              <w:rPr>
                <w:rFonts w:ascii="Cambria" w:hAnsi="Cambria" w:cs="Times New Roman"/>
              </w:rPr>
              <w:t>i</w:t>
            </w:r>
            <w:r w:rsidRPr="001558C9">
              <w:rPr>
                <w:rFonts w:ascii="Cambria" w:hAnsi="Cambria" w:cs="Times New Roman"/>
              </w:rPr>
              <w:t xml:space="preserve"> co najmniej 1 pracownika Szko</w:t>
            </w:r>
            <w:r>
              <w:rPr>
                <w:rFonts w:ascii="Cambria" w:hAnsi="Cambria" w:cs="Times New Roman"/>
              </w:rPr>
              <w:t>ł</w:t>
            </w:r>
            <w:r w:rsidRPr="001558C9">
              <w:rPr>
                <w:rFonts w:ascii="Cambria" w:hAnsi="Cambria" w:cs="Times New Roman"/>
              </w:rPr>
              <w:t xml:space="preserve">y </w:t>
            </w:r>
            <w:r>
              <w:rPr>
                <w:rFonts w:ascii="Cambria" w:hAnsi="Cambria" w:cs="Times New Roman"/>
              </w:rPr>
              <w:t>z obsługi monitora.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8477F" w14:textId="4383C58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1558C9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BD643" w14:textId="25E65735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  <w:r w:rsidRPr="001558C9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9D62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68D98A9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1265FFE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83D4985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23A60A3" w14:textId="77777777" w:rsidR="00FB75CF" w:rsidRPr="00496443" w:rsidRDefault="00FB75CF" w:rsidP="00FB75C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169F91A3" w14:textId="6ACCD03E" w:rsidTr="00484579">
        <w:trPr>
          <w:trHeight w:val="598"/>
        </w:trPr>
        <w:tc>
          <w:tcPr>
            <w:tcW w:w="38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6C9D" w14:textId="2A7FAC41" w:rsidR="00701FEF" w:rsidRPr="00AA6A08" w:rsidRDefault="00701FEF" w:rsidP="00AA6A08">
            <w:pPr>
              <w:jc w:val="right"/>
              <w:rPr>
                <w:rFonts w:ascii="Cambria" w:eastAsia="Cambria" w:hAnsi="Cambria" w:cs="Cambria"/>
                <w:b/>
              </w:rPr>
            </w:pPr>
            <w:r w:rsidRPr="00AA6A08">
              <w:rPr>
                <w:rFonts w:ascii="Cambria" w:eastAsia="Cambria" w:hAnsi="Cambria" w:cs="Cambria"/>
                <w:b/>
              </w:rPr>
              <w:t>RAZEM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6E4C30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26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A2FBE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323" w:type="pct"/>
            <w:vAlign w:val="center"/>
          </w:tcPr>
          <w:p w14:paraId="4B1DC5D1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77" w:type="pct"/>
            <w:vAlign w:val="center"/>
          </w:tcPr>
          <w:p w14:paraId="4E5DBDF4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</w:tbl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p w14:paraId="095B2FD1" w14:textId="77777777" w:rsidR="001A4C74" w:rsidRPr="00496443" w:rsidRDefault="001A4C74" w:rsidP="001A4C74">
      <w:pPr>
        <w:spacing w:before="360" w:after="0"/>
        <w:jc w:val="center"/>
        <w:rPr>
          <w:rFonts w:ascii="Cambria" w:hAnsi="Cambria"/>
          <w:color w:val="000000"/>
        </w:rPr>
      </w:pPr>
      <w:r w:rsidRPr="00496443">
        <w:rPr>
          <w:rFonts w:ascii="Cambria" w:hAnsi="Cambria"/>
          <w:color w:val="000000"/>
        </w:rPr>
        <w:t>……………………………………………………………………………………………….</w:t>
      </w:r>
      <w:r w:rsidRPr="00496443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5DC54D4B" w14:textId="6312C8D3" w:rsidR="00A1036F" w:rsidRPr="0012674B" w:rsidRDefault="00A1036F" w:rsidP="00E17A63">
      <w:pPr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CD147" w14:textId="77777777" w:rsidR="00265318" w:rsidRDefault="00265318" w:rsidP="000D2C3B">
      <w:pPr>
        <w:spacing w:after="0" w:line="240" w:lineRule="auto"/>
      </w:pPr>
      <w:r>
        <w:separator/>
      </w:r>
    </w:p>
  </w:endnote>
  <w:endnote w:type="continuationSeparator" w:id="0">
    <w:p w14:paraId="28412AA5" w14:textId="77777777" w:rsidR="00265318" w:rsidRDefault="00265318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5C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5C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94975" w14:textId="77777777" w:rsidR="00265318" w:rsidRDefault="00265318" w:rsidP="000D2C3B">
      <w:pPr>
        <w:spacing w:after="0" w:line="240" w:lineRule="auto"/>
      </w:pPr>
      <w:r>
        <w:separator/>
      </w:r>
    </w:p>
  </w:footnote>
  <w:footnote w:type="continuationSeparator" w:id="0">
    <w:p w14:paraId="6A740AA4" w14:textId="77777777" w:rsidR="00265318" w:rsidRDefault="00265318" w:rsidP="000D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77777777" w:rsidR="000E5894" w:rsidRPr="0020654C" w:rsidRDefault="0020654C" w:rsidP="0020654C">
    <w:pPr>
      <w:pStyle w:val="Nagwek"/>
      <w:jc w:val="center"/>
    </w:pPr>
    <w:r>
      <w:rPr>
        <w:noProof/>
      </w:rPr>
      <w:drawing>
        <wp:inline distT="0" distB="0" distL="0" distR="0" wp14:anchorId="3DA2891E" wp14:editId="1F73181F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772AAD6"/>
    <w:lvl w:ilvl="0">
      <w:start w:val="1"/>
      <w:numFmt w:val="decimal"/>
      <w:suff w:val="nothing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7AB63E2"/>
    <w:multiLevelType w:val="hybridMultilevel"/>
    <w:tmpl w:val="07F8F686"/>
    <w:lvl w:ilvl="0" w:tplc="4B80BC8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B60AD"/>
    <w:multiLevelType w:val="hybridMultilevel"/>
    <w:tmpl w:val="8BBABE92"/>
    <w:lvl w:ilvl="0" w:tplc="6D4C9FB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014D7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4C88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A3E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0BF6"/>
    <w:rsid w:val="001A1DD7"/>
    <w:rsid w:val="001A4C74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02B"/>
    <w:rsid w:val="00257F41"/>
    <w:rsid w:val="0026531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5218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84579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E5EC2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670"/>
    <w:rsid w:val="005F7A8A"/>
    <w:rsid w:val="005F7B97"/>
    <w:rsid w:val="006030CB"/>
    <w:rsid w:val="00606ACF"/>
    <w:rsid w:val="00613D19"/>
    <w:rsid w:val="0061431B"/>
    <w:rsid w:val="00626F86"/>
    <w:rsid w:val="006302E5"/>
    <w:rsid w:val="00632505"/>
    <w:rsid w:val="006566D8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1E27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1FEF"/>
    <w:rsid w:val="0070643D"/>
    <w:rsid w:val="0072282B"/>
    <w:rsid w:val="00730FE8"/>
    <w:rsid w:val="007312C0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66D75"/>
    <w:rsid w:val="00773ADB"/>
    <w:rsid w:val="007772F1"/>
    <w:rsid w:val="00785BC0"/>
    <w:rsid w:val="007A389D"/>
    <w:rsid w:val="007A3B01"/>
    <w:rsid w:val="007A44E0"/>
    <w:rsid w:val="007B57A8"/>
    <w:rsid w:val="007B5B41"/>
    <w:rsid w:val="007C5903"/>
    <w:rsid w:val="007C6FCA"/>
    <w:rsid w:val="007D029A"/>
    <w:rsid w:val="007D0C6D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244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A6A08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23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17A63"/>
    <w:rsid w:val="00E22BD8"/>
    <w:rsid w:val="00E26613"/>
    <w:rsid w:val="00E33B89"/>
    <w:rsid w:val="00E34BAC"/>
    <w:rsid w:val="00E421EC"/>
    <w:rsid w:val="00E46B45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4A55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5CF"/>
    <w:rsid w:val="00FB7889"/>
    <w:rsid w:val="00FC1B3D"/>
    <w:rsid w:val="00FC3B68"/>
    <w:rsid w:val="00FC71D6"/>
    <w:rsid w:val="00FD2AAE"/>
    <w:rsid w:val="00FD3B9C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75CF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6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  <w:style w:type="character" w:customStyle="1" w:styleId="Symbolewypunktowania">
    <w:name w:val="Symbole wypunktowania"/>
    <w:rsid w:val="00701FEF"/>
    <w:rPr>
      <w:rFonts w:ascii="OpenSymbol" w:eastAsia="OpenSymbol" w:hAnsi="OpenSymbol" w:cs="OpenSymbo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75CF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54E42-8E81-4395-BD2A-A7E86C4E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2437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HP</cp:lastModifiedBy>
  <cp:revision>19</cp:revision>
  <dcterms:created xsi:type="dcterms:W3CDTF">2025-09-04T07:00:00Z</dcterms:created>
  <dcterms:modified xsi:type="dcterms:W3CDTF">2025-11-30T16:07:00Z</dcterms:modified>
</cp:coreProperties>
</file>